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val="0"/>
          <w:bCs/>
          <w:sz w:val="36"/>
          <w:szCs w:val="36"/>
        </w:rPr>
      </w:pPr>
      <w:r>
        <w:rPr>
          <w:rFonts w:hint="eastAsia" w:ascii="黑体" w:hAnsi="黑体" w:eastAsia="黑体" w:cs="黑体"/>
          <w:b w:val="0"/>
          <w:bCs/>
          <w:sz w:val="36"/>
          <w:szCs w:val="36"/>
        </w:rPr>
        <w:t>苏北医院-洪泉医院灾备项目技术需求文档</w:t>
      </w:r>
    </w:p>
    <w:p>
      <w:pPr>
        <w:pStyle w:val="14"/>
        <w:numPr>
          <w:ilvl w:val="0"/>
          <w:numId w:val="1"/>
        </w:numPr>
        <w:ind w:firstLineChars="0"/>
        <w:outlineLvl w:val="0"/>
        <w:rPr>
          <w:rFonts w:asciiTheme="minorEastAsia" w:hAnsiTheme="minorEastAsia"/>
          <w:b/>
          <w:sz w:val="28"/>
          <w:szCs w:val="28"/>
        </w:rPr>
      </w:pPr>
      <w:r>
        <w:rPr>
          <w:rFonts w:hint="eastAsia" w:asciiTheme="minorEastAsia" w:hAnsiTheme="minorEastAsia"/>
          <w:b/>
          <w:sz w:val="28"/>
          <w:szCs w:val="28"/>
        </w:rPr>
        <w:t>项目背景</w:t>
      </w:r>
    </w:p>
    <w:p>
      <w:pPr>
        <w:pStyle w:val="14"/>
        <w:ind w:left="720" w:firstLine="0" w:firstLineChars="0"/>
        <w:rPr>
          <w:sz w:val="28"/>
          <w:szCs w:val="28"/>
        </w:rPr>
      </w:pPr>
      <w:r>
        <w:rPr>
          <w:sz w:val="28"/>
          <w:szCs w:val="28"/>
        </w:rPr>
        <w:t>江苏省苏北人民医院即扬州大学临床医学院、扬州大学医学院</w:t>
      </w:r>
    </w:p>
    <w:p>
      <w:pPr>
        <w:rPr>
          <w:sz w:val="28"/>
          <w:szCs w:val="28"/>
        </w:rPr>
      </w:pPr>
      <w:r>
        <w:rPr>
          <w:sz w:val="28"/>
          <w:szCs w:val="28"/>
        </w:rPr>
        <w:t>附属医院。医院前身是</w:t>
      </w:r>
      <w:bookmarkStart w:id="0" w:name="_GoBack"/>
      <w:bookmarkEnd w:id="0"/>
      <w:r>
        <w:rPr>
          <w:sz w:val="28"/>
          <w:szCs w:val="28"/>
        </w:rPr>
        <w:t>美国浸礼会1900年创办的扬州浸会医院，1994年被评定为全省首批9家三级甲等综合医院之一，是卫生部国际紧急救援中心网络医院，先后获得全国文明单位、全国卫生系统先进集体、全国改革创新医院、全国“改善医疗服务示范单位”、全国医保管理先进集体、江苏省十佳医院等荣誉称号。</w:t>
      </w:r>
    </w:p>
    <w:p>
      <w:pPr>
        <w:ind w:firstLine="560" w:firstLineChars="200"/>
        <w:rPr>
          <w:sz w:val="28"/>
          <w:szCs w:val="28"/>
        </w:rPr>
      </w:pPr>
      <w:r>
        <w:rPr>
          <w:rFonts w:hint="eastAsia"/>
          <w:sz w:val="28"/>
          <w:szCs w:val="28"/>
        </w:rPr>
        <w:t>苏北人民医院东院（扬州洪泉医院），位于扬州市江都区，由扬州洪泉实业有限公司董事长俞洪泉先生投资兴建的一所民办非营利性综合医院。医院占地面积240亩，医疗用房及其配套用房8万平方米，按照现代化三级医院标准建设,是一所集医疗、教学、科研为一体的二级甲等综合医院，为扬州大学附属医院。是扬州市、江都区医保定点单位、城镇居民医保定点单位和新农合定点单位。先后被扬州市卫生和计划生育委员会、扬州市消费者协会等部门授予“规范收费医院”、“扬州市消费者最满意单位”和“质量服务奖”单位；被江苏省物价局、建设厅等部门评为“价格监测定点单位”和“江苏省园林式单位”；2015年被评为国家级爱婴医院；2017年荣获“国家级初级卒中中心”首批试点单位。</w:t>
      </w:r>
    </w:p>
    <w:p>
      <w:pPr>
        <w:pStyle w:val="14"/>
        <w:ind w:left="720" w:firstLine="0" w:firstLineChars="0"/>
        <w:rPr>
          <w:sz w:val="28"/>
          <w:szCs w:val="28"/>
        </w:rPr>
      </w:pPr>
      <w:r>
        <w:rPr>
          <w:rFonts w:hint="eastAsia"/>
          <w:sz w:val="28"/>
          <w:szCs w:val="28"/>
        </w:rPr>
        <w:t>为保障苏北医院、洪泉医院核心业务系统（HIS系统）安全稳定</w:t>
      </w:r>
    </w:p>
    <w:p>
      <w:pPr>
        <w:rPr>
          <w:sz w:val="28"/>
          <w:szCs w:val="28"/>
        </w:rPr>
      </w:pPr>
      <w:r>
        <w:rPr>
          <w:rFonts w:hint="eastAsia"/>
          <w:sz w:val="28"/>
          <w:szCs w:val="28"/>
        </w:rPr>
        <w:t>运行，在出现不可预知的故障时能够在异地灾备机房实时切换，确保医院信息系统业务不受影响，现计划建设苏北医院-洪泉医院灾备项目。</w:t>
      </w:r>
    </w:p>
    <w:p>
      <w:pPr>
        <w:pStyle w:val="14"/>
        <w:numPr>
          <w:ilvl w:val="0"/>
          <w:numId w:val="1"/>
        </w:numPr>
        <w:ind w:firstLineChars="0"/>
        <w:outlineLvl w:val="0"/>
        <w:rPr>
          <w:rFonts w:asciiTheme="minorEastAsia" w:hAnsiTheme="minorEastAsia"/>
          <w:b/>
          <w:sz w:val="28"/>
          <w:szCs w:val="28"/>
        </w:rPr>
      </w:pPr>
      <w:r>
        <w:rPr>
          <w:rFonts w:hint="eastAsia" w:asciiTheme="minorEastAsia" w:hAnsiTheme="minorEastAsia"/>
          <w:b/>
          <w:sz w:val="28"/>
          <w:szCs w:val="28"/>
        </w:rPr>
        <w:t>需求概述</w:t>
      </w:r>
    </w:p>
    <w:p>
      <w:pPr>
        <w:pStyle w:val="14"/>
        <w:ind w:left="720" w:firstLine="0" w:firstLineChars="0"/>
        <w:rPr>
          <w:sz w:val="28"/>
          <w:szCs w:val="28"/>
        </w:rPr>
      </w:pPr>
      <w:r>
        <w:rPr>
          <w:sz w:val="28"/>
          <w:szCs w:val="28"/>
        </w:rPr>
        <w:object>
          <v:shape id="_x0000_i1025" o:spt="75" type="#_x0000_t75" style="height:265.5pt;width:354pt;" o:ole="t" filled="f" o:preferrelative="t" stroked="f" coordsize="21600,21600">
            <v:path/>
            <v:fill on="f" focussize="0,0"/>
            <v:stroke on="f" joinstyle="miter"/>
            <v:imagedata r:id="rId5" o:title=""/>
            <o:lock v:ext="edit" aspectratio="t"/>
            <w10:wrap type="none"/>
            <w10:anchorlock/>
          </v:shape>
          <o:OLEObject Type="Embed" ProgID="PowerPoint.Slide.12" ShapeID="_x0000_i1025" DrawAspect="Content" ObjectID="_1468075725" r:id="rId4">
            <o:LockedField>false</o:LockedField>
          </o:OLEObject>
        </w:object>
      </w:r>
    </w:p>
    <w:p>
      <w:pPr>
        <w:pStyle w:val="14"/>
        <w:ind w:left="720" w:firstLine="0" w:firstLineChars="0"/>
        <w:rPr>
          <w:sz w:val="28"/>
          <w:szCs w:val="28"/>
        </w:rPr>
      </w:pPr>
      <w:r>
        <w:rPr>
          <w:sz w:val="28"/>
          <w:szCs w:val="28"/>
        </w:rPr>
        <w:object>
          <v:shape id="_x0000_i1026" o:spt="75" type="#_x0000_t75" style="height:270pt;width:360pt;" o:ole="t" filled="f" o:preferrelative="t" stroked="f" coordsize="21600,21600">
            <v:path/>
            <v:fill on="f" focussize="0,0"/>
            <v:stroke on="f" joinstyle="miter"/>
            <v:imagedata r:id="rId7" o:title=""/>
            <o:lock v:ext="edit" aspectratio="t"/>
            <w10:wrap type="none"/>
            <w10:anchorlock/>
          </v:shape>
          <o:OLEObject Type="Embed" ProgID="PowerPoint.Slide.12" ShapeID="_x0000_i1026" DrawAspect="Content" ObjectID="_1468075726" r:id="rId6">
            <o:LockedField>false</o:LockedField>
          </o:OLEObject>
        </w:object>
      </w:r>
    </w:p>
    <w:p>
      <w:pPr>
        <w:rPr>
          <w:sz w:val="28"/>
          <w:szCs w:val="28"/>
        </w:rPr>
      </w:pPr>
    </w:p>
    <w:p>
      <w:pPr>
        <w:ind w:firstLine="540"/>
        <w:rPr>
          <w:sz w:val="28"/>
          <w:szCs w:val="28"/>
        </w:rPr>
      </w:pPr>
      <w:r>
        <w:rPr>
          <w:rFonts w:hint="eastAsia"/>
          <w:sz w:val="28"/>
          <w:szCs w:val="28"/>
        </w:rPr>
        <w:t>由上述2幅拓扑图可以看出，目前洪泉医院的HIS系统运行在苏北医院的2台IBM P750小型机上，采用RAC方式进行集群，数据库版本为Oracle11g，软件供应商为东软，苏北医院与洪泉医院间有两条运营商的裸光纤（电信、移动），距离约为</w:t>
      </w:r>
      <w:r>
        <w:rPr>
          <w:sz w:val="28"/>
          <w:szCs w:val="28"/>
        </w:rPr>
        <w:t>30KM</w:t>
      </w:r>
      <w:r>
        <w:rPr>
          <w:rFonts w:hint="eastAsia"/>
          <w:sz w:val="28"/>
          <w:szCs w:val="28"/>
        </w:rPr>
        <w:t>。本次灾备项目需要达到以下目的：</w:t>
      </w:r>
    </w:p>
    <w:p>
      <w:pPr>
        <w:pStyle w:val="14"/>
        <w:numPr>
          <w:ilvl w:val="0"/>
          <w:numId w:val="2"/>
        </w:numPr>
        <w:ind w:firstLineChars="0"/>
        <w:rPr>
          <w:sz w:val="28"/>
          <w:szCs w:val="28"/>
        </w:rPr>
      </w:pPr>
      <w:r>
        <w:rPr>
          <w:rFonts w:hint="eastAsia"/>
          <w:sz w:val="28"/>
          <w:szCs w:val="28"/>
        </w:rPr>
        <w:t>将洪泉医院的HIS系统迁回本地。</w:t>
      </w:r>
    </w:p>
    <w:p>
      <w:pPr>
        <w:pStyle w:val="14"/>
        <w:numPr>
          <w:ilvl w:val="0"/>
          <w:numId w:val="2"/>
        </w:numPr>
        <w:ind w:firstLineChars="0"/>
        <w:rPr>
          <w:rFonts w:asciiTheme="minorEastAsia" w:hAnsiTheme="minorEastAsia"/>
          <w:sz w:val="28"/>
          <w:szCs w:val="28"/>
        </w:rPr>
      </w:pPr>
      <w:r>
        <w:rPr>
          <w:rFonts w:hint="eastAsia" w:asciiTheme="minorEastAsia" w:hAnsiTheme="minorEastAsia"/>
          <w:sz w:val="28"/>
          <w:szCs w:val="28"/>
        </w:rPr>
        <w:t>苏北医院与洪泉医院间做</w:t>
      </w:r>
      <w:r>
        <w:rPr>
          <w:rFonts w:asciiTheme="minorEastAsia" w:hAnsiTheme="minorEastAsia"/>
          <w:sz w:val="28"/>
          <w:szCs w:val="28"/>
        </w:rPr>
        <w:t>HIS</w:t>
      </w:r>
      <w:r>
        <w:rPr>
          <w:rFonts w:hint="eastAsia" w:asciiTheme="minorEastAsia" w:hAnsiTheme="minorEastAsia"/>
          <w:sz w:val="28"/>
          <w:szCs w:val="28"/>
        </w:rPr>
        <w:t>系统的互为灾备，建议为应用级灾备。即任意一方</w:t>
      </w:r>
      <w:r>
        <w:rPr>
          <w:rFonts w:asciiTheme="minorEastAsia" w:hAnsiTheme="minorEastAsia"/>
          <w:sz w:val="28"/>
          <w:szCs w:val="28"/>
        </w:rPr>
        <w:t>HIS</w:t>
      </w:r>
      <w:r>
        <w:rPr>
          <w:rFonts w:hint="eastAsia" w:asciiTheme="minorEastAsia" w:hAnsiTheme="minorEastAsia"/>
          <w:sz w:val="28"/>
          <w:szCs w:val="28"/>
        </w:rPr>
        <w:t>系统出现故障，灾备方能够及时接管业务，且数据无丢失。</w:t>
      </w:r>
    </w:p>
    <w:p>
      <w:pPr>
        <w:pStyle w:val="14"/>
        <w:numPr>
          <w:ilvl w:val="0"/>
          <w:numId w:val="2"/>
        </w:numPr>
        <w:ind w:firstLineChars="0"/>
        <w:rPr>
          <w:rFonts w:asciiTheme="minorEastAsia" w:hAnsiTheme="minorEastAsia"/>
          <w:sz w:val="28"/>
          <w:szCs w:val="28"/>
        </w:rPr>
      </w:pPr>
      <w:r>
        <w:rPr>
          <w:rFonts w:hint="eastAsia" w:asciiTheme="minorEastAsia" w:hAnsiTheme="minorEastAsia"/>
          <w:sz w:val="28"/>
          <w:szCs w:val="28"/>
        </w:rPr>
        <w:t>保证后续虚拟化平台等应用系统灾备的平滑扩展。</w:t>
      </w:r>
    </w:p>
    <w:p>
      <w:pPr>
        <w:pStyle w:val="14"/>
        <w:numPr>
          <w:ilvl w:val="0"/>
          <w:numId w:val="1"/>
        </w:numPr>
        <w:ind w:firstLineChars="0"/>
        <w:outlineLvl w:val="0"/>
        <w:rPr>
          <w:rFonts w:asciiTheme="minorEastAsia" w:hAnsiTheme="minorEastAsia"/>
          <w:b/>
          <w:sz w:val="28"/>
          <w:szCs w:val="28"/>
        </w:rPr>
      </w:pPr>
      <w:r>
        <w:rPr>
          <w:rFonts w:hint="eastAsia" w:asciiTheme="minorEastAsia" w:hAnsiTheme="minorEastAsia"/>
          <w:b/>
          <w:sz w:val="28"/>
          <w:szCs w:val="28"/>
        </w:rPr>
        <w:t>软硬件配置方案</w:t>
      </w:r>
    </w:p>
    <w:p>
      <w:pPr>
        <w:ind w:firstLine="570"/>
        <w:rPr>
          <w:rFonts w:asciiTheme="minorEastAsia" w:hAnsiTheme="minorEastAsia"/>
          <w:sz w:val="28"/>
          <w:szCs w:val="28"/>
        </w:rPr>
      </w:pPr>
      <w:r>
        <w:rPr>
          <w:rFonts w:hint="eastAsia" w:asciiTheme="minorEastAsia" w:hAnsiTheme="minorEastAsia"/>
          <w:sz w:val="28"/>
          <w:szCs w:val="28"/>
        </w:rPr>
        <w:t>为实现苏北医院-洪泉医院核心业务系统（HIS）的应用级灾备，同时为满足苏北医院自身虚拟化平台应用存储及洪泉医院影像存储需要，需购置以下软硬件设备：</w:t>
      </w:r>
    </w:p>
    <w:p>
      <w:pPr>
        <w:rPr>
          <w:rFonts w:asciiTheme="minorEastAsia" w:hAnsiTheme="minorEastAsia"/>
          <w:b/>
          <w:sz w:val="28"/>
          <w:szCs w:val="28"/>
        </w:rPr>
      </w:pPr>
      <w:r>
        <w:rPr>
          <w:rFonts w:hint="eastAsia" w:asciiTheme="minorEastAsia" w:hAnsiTheme="minorEastAsia"/>
          <w:b/>
          <w:sz w:val="28"/>
          <w:szCs w:val="28"/>
        </w:rPr>
        <w:t>第一标段：苏北医院HIS容灾软硬件采购</w:t>
      </w:r>
    </w:p>
    <w:tbl>
      <w:tblPr>
        <w:tblStyle w:val="11"/>
        <w:tblW w:w="10059" w:type="dxa"/>
        <w:tblInd w:w="-7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737"/>
        <w:gridCol w:w="1938"/>
        <w:gridCol w:w="850"/>
        <w:gridCol w:w="2740"/>
        <w:gridCol w:w="24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Align w:val="center"/>
          </w:tcPr>
          <w:p>
            <w:pPr>
              <w:jc w:val="center"/>
              <w:rPr>
                <w:rFonts w:asciiTheme="minorEastAsia" w:hAnsiTheme="minorEastAsia"/>
                <w:b/>
                <w:sz w:val="24"/>
                <w:szCs w:val="24"/>
              </w:rPr>
            </w:pPr>
            <w:r>
              <w:rPr>
                <w:rFonts w:hint="eastAsia" w:asciiTheme="minorEastAsia" w:hAnsiTheme="minorEastAsia"/>
                <w:b/>
                <w:sz w:val="24"/>
                <w:szCs w:val="24"/>
              </w:rPr>
              <w:t>区域</w:t>
            </w:r>
          </w:p>
        </w:tc>
        <w:tc>
          <w:tcPr>
            <w:tcW w:w="737" w:type="dxa"/>
            <w:vAlign w:val="center"/>
          </w:tcPr>
          <w:p>
            <w:pPr>
              <w:jc w:val="center"/>
              <w:rPr>
                <w:rFonts w:asciiTheme="minorEastAsia" w:hAnsiTheme="minorEastAsia"/>
                <w:b/>
                <w:sz w:val="24"/>
                <w:szCs w:val="24"/>
              </w:rPr>
            </w:pPr>
            <w:r>
              <w:rPr>
                <w:rFonts w:hint="eastAsia" w:asciiTheme="minorEastAsia" w:hAnsiTheme="minorEastAsia"/>
                <w:b/>
                <w:sz w:val="24"/>
                <w:szCs w:val="24"/>
              </w:rPr>
              <w:t>序号</w:t>
            </w:r>
          </w:p>
        </w:tc>
        <w:tc>
          <w:tcPr>
            <w:tcW w:w="1938" w:type="dxa"/>
            <w:vAlign w:val="center"/>
          </w:tcPr>
          <w:p>
            <w:pPr>
              <w:jc w:val="center"/>
              <w:rPr>
                <w:rFonts w:asciiTheme="minorEastAsia" w:hAnsiTheme="minorEastAsia"/>
                <w:b/>
                <w:sz w:val="24"/>
                <w:szCs w:val="24"/>
              </w:rPr>
            </w:pPr>
            <w:r>
              <w:rPr>
                <w:rFonts w:hint="eastAsia" w:asciiTheme="minorEastAsia" w:hAnsiTheme="minorEastAsia"/>
                <w:b/>
                <w:sz w:val="24"/>
                <w:szCs w:val="24"/>
              </w:rPr>
              <w:t>设备</w:t>
            </w:r>
          </w:p>
        </w:tc>
        <w:tc>
          <w:tcPr>
            <w:tcW w:w="850" w:type="dxa"/>
            <w:vAlign w:val="center"/>
          </w:tcPr>
          <w:p>
            <w:pPr>
              <w:jc w:val="center"/>
              <w:rPr>
                <w:rFonts w:asciiTheme="minorEastAsia" w:hAnsiTheme="minorEastAsia"/>
                <w:b/>
                <w:sz w:val="24"/>
                <w:szCs w:val="24"/>
              </w:rPr>
            </w:pPr>
            <w:r>
              <w:rPr>
                <w:rFonts w:hint="eastAsia" w:asciiTheme="minorEastAsia" w:hAnsiTheme="minorEastAsia"/>
                <w:b/>
                <w:sz w:val="24"/>
                <w:szCs w:val="24"/>
              </w:rPr>
              <w:t>数量</w:t>
            </w:r>
          </w:p>
        </w:tc>
        <w:tc>
          <w:tcPr>
            <w:tcW w:w="2740" w:type="dxa"/>
            <w:vAlign w:val="center"/>
          </w:tcPr>
          <w:p>
            <w:pPr>
              <w:jc w:val="center"/>
              <w:rPr>
                <w:rFonts w:asciiTheme="minorEastAsia" w:hAnsiTheme="minorEastAsia"/>
                <w:b/>
                <w:sz w:val="24"/>
                <w:szCs w:val="24"/>
              </w:rPr>
            </w:pPr>
            <w:r>
              <w:rPr>
                <w:rFonts w:hint="eastAsia" w:asciiTheme="minorEastAsia" w:hAnsiTheme="minorEastAsia"/>
                <w:b/>
                <w:sz w:val="24"/>
                <w:szCs w:val="24"/>
              </w:rPr>
              <w:t>用途</w:t>
            </w:r>
          </w:p>
        </w:tc>
        <w:tc>
          <w:tcPr>
            <w:tcW w:w="2410" w:type="dxa"/>
            <w:vAlign w:val="center"/>
          </w:tcPr>
          <w:p>
            <w:pPr>
              <w:jc w:val="center"/>
              <w:rPr>
                <w:rFonts w:asciiTheme="minorEastAsia" w:hAnsiTheme="minorEastAsia"/>
                <w:b/>
                <w:sz w:val="24"/>
                <w:szCs w:val="24"/>
              </w:rPr>
            </w:pPr>
            <w:r>
              <w:rPr>
                <w:rFonts w:hint="eastAsia" w:asciiTheme="minorEastAsia" w:hAnsiTheme="minorEastAsia"/>
                <w:b/>
                <w:sz w:val="24"/>
                <w:szCs w:val="24"/>
              </w:rPr>
              <w:t>品牌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苏北医院</w:t>
            </w: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数据容灾软件</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740" w:type="dxa"/>
            <w:vAlign w:val="center"/>
          </w:tcPr>
          <w:p>
            <w:pPr>
              <w:jc w:val="center"/>
              <w:rPr>
                <w:rFonts w:asciiTheme="minorEastAsia" w:hAnsiTheme="minorEastAsia"/>
                <w:sz w:val="24"/>
                <w:szCs w:val="24"/>
              </w:rPr>
            </w:pPr>
            <w:r>
              <w:rPr>
                <w:rFonts w:hint="eastAsia" w:asciiTheme="minorEastAsia" w:hAnsiTheme="minorEastAsia"/>
                <w:sz w:val="24"/>
                <w:szCs w:val="24"/>
              </w:rPr>
              <w:t>苏北HIS系统数据库容灾软件</w:t>
            </w:r>
          </w:p>
        </w:tc>
        <w:tc>
          <w:tcPr>
            <w:tcW w:w="2410" w:type="dxa"/>
            <w:vAlign w:val="center"/>
          </w:tcPr>
          <w:p>
            <w:pPr>
              <w:jc w:val="center"/>
              <w:rPr>
                <w:rFonts w:asciiTheme="minorEastAsia" w:hAnsiTheme="minorEastAsia"/>
                <w:sz w:val="24"/>
                <w:szCs w:val="24"/>
              </w:rPr>
            </w:pPr>
            <w:r>
              <w:rPr>
                <w:rFonts w:hint="eastAsia" w:asciiTheme="minorEastAsia" w:hAnsiTheme="minorEastAsia"/>
                <w:sz w:val="24"/>
                <w:szCs w:val="24"/>
              </w:rPr>
              <w:t>ODG、OGG、</w:t>
            </w:r>
            <w:r>
              <w:rPr>
                <w:rFonts w:asciiTheme="minorEastAsia" w:hAnsiTheme="minorEastAsia"/>
                <w:sz w:val="24"/>
                <w:szCs w:val="24"/>
              </w:rPr>
              <w:t>DSG RealSync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存储容灾软件</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740" w:type="dxa"/>
            <w:vAlign w:val="center"/>
          </w:tcPr>
          <w:p>
            <w:pPr>
              <w:jc w:val="center"/>
              <w:rPr>
                <w:rFonts w:asciiTheme="minorEastAsia" w:hAnsiTheme="minorEastAsia"/>
                <w:sz w:val="24"/>
                <w:szCs w:val="24"/>
              </w:rPr>
            </w:pPr>
            <w:r>
              <w:rPr>
                <w:rFonts w:hint="eastAsia" w:asciiTheme="minorEastAsia" w:hAnsiTheme="minorEastAsia"/>
                <w:sz w:val="24"/>
                <w:szCs w:val="24"/>
              </w:rPr>
              <w:t>苏北-洪泉底层存储数据的容灾</w:t>
            </w:r>
          </w:p>
        </w:tc>
        <w:tc>
          <w:tcPr>
            <w:tcW w:w="2410" w:type="dxa"/>
            <w:vAlign w:val="center"/>
          </w:tcPr>
          <w:p>
            <w:pPr>
              <w:jc w:val="center"/>
              <w:rPr>
                <w:rFonts w:asciiTheme="minorEastAsia" w:hAnsiTheme="minorEastAsia"/>
                <w:sz w:val="24"/>
                <w:szCs w:val="24"/>
              </w:rPr>
            </w:pPr>
            <w:r>
              <w:rPr>
                <w:rFonts w:hint="eastAsia" w:asciiTheme="minorEastAsia" w:hAnsiTheme="minorEastAsia"/>
                <w:sz w:val="24"/>
                <w:szCs w:val="24"/>
              </w:rPr>
              <w:t>EMC、HP、NETAPP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3</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核心交换机、光纤交换机级联模块</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4</w:t>
            </w:r>
          </w:p>
        </w:tc>
        <w:tc>
          <w:tcPr>
            <w:tcW w:w="2740" w:type="dxa"/>
            <w:vAlign w:val="center"/>
          </w:tcPr>
          <w:p>
            <w:pPr>
              <w:jc w:val="center"/>
              <w:rPr>
                <w:rFonts w:asciiTheme="minorEastAsia" w:hAnsiTheme="minorEastAsia"/>
                <w:sz w:val="24"/>
                <w:szCs w:val="24"/>
              </w:rPr>
            </w:pPr>
            <w:r>
              <w:rPr>
                <w:rFonts w:hint="eastAsia" w:asciiTheme="minorEastAsia" w:hAnsiTheme="minorEastAsia"/>
                <w:sz w:val="24"/>
                <w:szCs w:val="24"/>
              </w:rPr>
              <w:t>苏北-洪泉光纤网络的联通</w:t>
            </w:r>
          </w:p>
        </w:tc>
        <w:tc>
          <w:tcPr>
            <w:tcW w:w="2410" w:type="dxa"/>
            <w:vAlign w:val="center"/>
          </w:tcPr>
          <w:p>
            <w:pPr>
              <w:jc w:val="center"/>
              <w:rPr>
                <w:rFonts w:asciiTheme="minorEastAsia" w:hAnsiTheme="minorEastAsia"/>
                <w:sz w:val="24"/>
                <w:szCs w:val="24"/>
              </w:rPr>
            </w:pPr>
            <w:r>
              <w:rPr>
                <w:rFonts w:hint="eastAsia" w:asciiTheme="minorEastAsia" w:hAnsiTheme="minorEastAsia"/>
                <w:sz w:val="24"/>
                <w:szCs w:val="24"/>
              </w:rPr>
              <w:t>与现有设备品牌一致（CISCO）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4</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实施服务</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740" w:type="dxa"/>
            <w:vAlign w:val="center"/>
          </w:tcPr>
          <w:p>
            <w:pPr>
              <w:jc w:val="center"/>
              <w:rPr>
                <w:rFonts w:asciiTheme="minorEastAsia" w:hAnsiTheme="minorEastAsia"/>
                <w:sz w:val="24"/>
                <w:szCs w:val="24"/>
              </w:rPr>
            </w:pPr>
            <w:r>
              <w:rPr>
                <w:rFonts w:hint="eastAsia" w:ascii="宋体" w:hAnsi="宋体" w:eastAsia="宋体" w:cs="宋体"/>
                <w:color w:val="000000"/>
                <w:kern w:val="0"/>
                <w:sz w:val="24"/>
                <w:szCs w:val="24"/>
              </w:rPr>
              <w:t>实施原厂设备安装调试、数据库部署、数据迁移服务、容灾实施服务，并进行容灾切换、恢复演练测试等</w:t>
            </w:r>
          </w:p>
        </w:tc>
        <w:tc>
          <w:tcPr>
            <w:tcW w:w="2410" w:type="dxa"/>
            <w:vAlign w:val="center"/>
          </w:tcPr>
          <w:p>
            <w:pPr>
              <w:jc w:val="center"/>
              <w:rPr>
                <w:rFonts w:asciiTheme="minorEastAsia" w:hAnsiTheme="minorEastAsia"/>
                <w:sz w:val="24"/>
                <w:szCs w:val="24"/>
              </w:rPr>
            </w:pPr>
          </w:p>
        </w:tc>
      </w:tr>
    </w:tbl>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sz w:val="28"/>
          <w:szCs w:val="28"/>
        </w:rPr>
      </w:pPr>
    </w:p>
    <w:p>
      <w:pPr>
        <w:rPr>
          <w:rFonts w:asciiTheme="minorEastAsia" w:hAnsiTheme="minorEastAsia"/>
          <w:b/>
          <w:sz w:val="28"/>
          <w:szCs w:val="28"/>
        </w:rPr>
      </w:pPr>
      <w:r>
        <w:rPr>
          <w:rFonts w:hint="eastAsia" w:asciiTheme="minorEastAsia" w:hAnsiTheme="minorEastAsia"/>
          <w:b/>
          <w:sz w:val="28"/>
          <w:szCs w:val="28"/>
        </w:rPr>
        <w:t>第二标段：苏北医院存储设备采购及扩容</w:t>
      </w:r>
    </w:p>
    <w:tbl>
      <w:tblPr>
        <w:tblStyle w:val="11"/>
        <w:tblW w:w="10059" w:type="dxa"/>
        <w:tblInd w:w="-7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737"/>
        <w:gridCol w:w="1938"/>
        <w:gridCol w:w="850"/>
        <w:gridCol w:w="2599"/>
        <w:gridCol w:w="25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Align w:val="center"/>
          </w:tcPr>
          <w:p>
            <w:pPr>
              <w:jc w:val="center"/>
              <w:rPr>
                <w:rFonts w:asciiTheme="minorEastAsia" w:hAnsiTheme="minorEastAsia"/>
                <w:b/>
                <w:sz w:val="24"/>
                <w:szCs w:val="24"/>
              </w:rPr>
            </w:pPr>
            <w:r>
              <w:rPr>
                <w:rFonts w:hint="eastAsia" w:asciiTheme="minorEastAsia" w:hAnsiTheme="minorEastAsia"/>
                <w:b/>
                <w:sz w:val="24"/>
                <w:szCs w:val="24"/>
              </w:rPr>
              <w:t>区域</w:t>
            </w:r>
          </w:p>
        </w:tc>
        <w:tc>
          <w:tcPr>
            <w:tcW w:w="737" w:type="dxa"/>
            <w:vAlign w:val="center"/>
          </w:tcPr>
          <w:p>
            <w:pPr>
              <w:jc w:val="center"/>
              <w:rPr>
                <w:rFonts w:asciiTheme="minorEastAsia" w:hAnsiTheme="minorEastAsia"/>
                <w:b/>
                <w:sz w:val="24"/>
                <w:szCs w:val="24"/>
              </w:rPr>
            </w:pPr>
            <w:r>
              <w:rPr>
                <w:rFonts w:hint="eastAsia" w:asciiTheme="minorEastAsia" w:hAnsiTheme="minorEastAsia"/>
                <w:b/>
                <w:sz w:val="24"/>
                <w:szCs w:val="24"/>
              </w:rPr>
              <w:t>序号</w:t>
            </w:r>
          </w:p>
        </w:tc>
        <w:tc>
          <w:tcPr>
            <w:tcW w:w="1938" w:type="dxa"/>
            <w:vAlign w:val="center"/>
          </w:tcPr>
          <w:p>
            <w:pPr>
              <w:jc w:val="center"/>
              <w:rPr>
                <w:rFonts w:asciiTheme="minorEastAsia" w:hAnsiTheme="minorEastAsia"/>
                <w:b/>
                <w:sz w:val="24"/>
                <w:szCs w:val="24"/>
              </w:rPr>
            </w:pPr>
            <w:r>
              <w:rPr>
                <w:rFonts w:hint="eastAsia" w:asciiTheme="minorEastAsia" w:hAnsiTheme="minorEastAsia"/>
                <w:b/>
                <w:sz w:val="24"/>
                <w:szCs w:val="24"/>
              </w:rPr>
              <w:t>设备</w:t>
            </w:r>
          </w:p>
        </w:tc>
        <w:tc>
          <w:tcPr>
            <w:tcW w:w="850" w:type="dxa"/>
            <w:vAlign w:val="center"/>
          </w:tcPr>
          <w:p>
            <w:pPr>
              <w:jc w:val="center"/>
              <w:rPr>
                <w:rFonts w:asciiTheme="minorEastAsia" w:hAnsiTheme="minorEastAsia"/>
                <w:b/>
                <w:sz w:val="24"/>
                <w:szCs w:val="24"/>
              </w:rPr>
            </w:pPr>
            <w:r>
              <w:rPr>
                <w:rFonts w:hint="eastAsia" w:asciiTheme="minorEastAsia" w:hAnsiTheme="minorEastAsia"/>
                <w:b/>
                <w:sz w:val="24"/>
                <w:szCs w:val="24"/>
              </w:rPr>
              <w:t>数量</w:t>
            </w:r>
          </w:p>
        </w:tc>
        <w:tc>
          <w:tcPr>
            <w:tcW w:w="2599" w:type="dxa"/>
            <w:vAlign w:val="center"/>
          </w:tcPr>
          <w:p>
            <w:pPr>
              <w:jc w:val="center"/>
              <w:rPr>
                <w:rFonts w:asciiTheme="minorEastAsia" w:hAnsiTheme="minorEastAsia"/>
                <w:b/>
                <w:sz w:val="24"/>
                <w:szCs w:val="24"/>
              </w:rPr>
            </w:pPr>
            <w:r>
              <w:rPr>
                <w:rFonts w:hint="eastAsia" w:asciiTheme="minorEastAsia" w:hAnsiTheme="minorEastAsia"/>
                <w:b/>
                <w:sz w:val="24"/>
                <w:szCs w:val="24"/>
              </w:rPr>
              <w:t>用途</w:t>
            </w:r>
          </w:p>
        </w:tc>
        <w:tc>
          <w:tcPr>
            <w:tcW w:w="2551" w:type="dxa"/>
            <w:vAlign w:val="center"/>
          </w:tcPr>
          <w:p>
            <w:pPr>
              <w:jc w:val="center"/>
              <w:rPr>
                <w:rFonts w:asciiTheme="minorEastAsia" w:hAnsiTheme="minorEastAsia"/>
                <w:b/>
                <w:sz w:val="24"/>
                <w:szCs w:val="24"/>
              </w:rPr>
            </w:pPr>
            <w:r>
              <w:rPr>
                <w:rFonts w:hint="eastAsia" w:asciiTheme="minorEastAsia" w:hAnsiTheme="minorEastAsia"/>
                <w:b/>
                <w:sz w:val="24"/>
                <w:szCs w:val="24"/>
              </w:rPr>
              <w:t>品牌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苏北医院</w:t>
            </w: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数据存储设备</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2599" w:type="dxa"/>
            <w:vAlign w:val="center"/>
          </w:tcPr>
          <w:p>
            <w:pPr>
              <w:jc w:val="center"/>
              <w:rPr>
                <w:rFonts w:asciiTheme="minorEastAsia" w:hAnsiTheme="minorEastAsia"/>
                <w:sz w:val="24"/>
                <w:szCs w:val="24"/>
              </w:rPr>
            </w:pPr>
            <w:r>
              <w:rPr>
                <w:rFonts w:hint="eastAsia" w:asciiTheme="minorEastAsia" w:hAnsiTheme="minorEastAsia"/>
                <w:sz w:val="24"/>
                <w:szCs w:val="24"/>
              </w:rPr>
              <w:t>苏北医院PACS在线及虚拟化应用平台存储</w:t>
            </w:r>
          </w:p>
        </w:tc>
        <w:tc>
          <w:tcPr>
            <w:tcW w:w="2551" w:type="dxa"/>
            <w:vAlign w:val="center"/>
          </w:tcPr>
          <w:p>
            <w:pPr>
              <w:jc w:val="center"/>
              <w:rPr>
                <w:rFonts w:asciiTheme="minorEastAsia" w:hAnsiTheme="minorEastAsia"/>
                <w:sz w:val="24"/>
                <w:szCs w:val="24"/>
              </w:rPr>
            </w:pPr>
            <w:r>
              <w:rPr>
                <w:rFonts w:hint="eastAsia" w:asciiTheme="minorEastAsia" w:hAnsiTheme="minorEastAsia"/>
                <w:sz w:val="24"/>
                <w:szCs w:val="24"/>
              </w:rPr>
              <w:t>EMC、HP、NETAPP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核心存储扩容</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2599" w:type="dxa"/>
            <w:vAlign w:val="center"/>
          </w:tcPr>
          <w:p>
            <w:pPr>
              <w:jc w:val="center"/>
              <w:rPr>
                <w:rFonts w:asciiTheme="minorEastAsia" w:hAnsiTheme="minorEastAsia"/>
                <w:sz w:val="24"/>
                <w:szCs w:val="24"/>
              </w:rPr>
            </w:pPr>
            <w:r>
              <w:rPr>
                <w:rFonts w:hint="eastAsia" w:asciiTheme="minorEastAsia" w:hAnsiTheme="minorEastAsia"/>
                <w:sz w:val="24"/>
                <w:szCs w:val="24"/>
              </w:rPr>
              <w:t>苏北医院现有2台Unity400F扩容</w:t>
            </w:r>
          </w:p>
        </w:tc>
        <w:tc>
          <w:tcPr>
            <w:tcW w:w="2551" w:type="dxa"/>
            <w:vAlign w:val="center"/>
          </w:tcPr>
          <w:p>
            <w:pPr>
              <w:jc w:val="center"/>
              <w:rPr>
                <w:rFonts w:asciiTheme="minorEastAsia" w:hAnsiTheme="minorEastAsia"/>
                <w:sz w:val="24"/>
                <w:szCs w:val="24"/>
              </w:rPr>
            </w:pPr>
            <w:r>
              <w:rPr>
                <w:rFonts w:hint="eastAsia" w:asciiTheme="minorEastAsia" w:hAnsiTheme="minorEastAsia"/>
                <w:sz w:val="24"/>
                <w:szCs w:val="24"/>
              </w:rPr>
              <w:t>与现有设备品牌一致（EMC）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3</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影像远程归档软件</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599" w:type="dxa"/>
            <w:vAlign w:val="center"/>
          </w:tcPr>
          <w:p>
            <w:pPr>
              <w:jc w:val="center"/>
              <w:rPr>
                <w:rFonts w:asciiTheme="minorEastAsia" w:hAnsiTheme="minorEastAsia"/>
                <w:sz w:val="24"/>
                <w:szCs w:val="24"/>
              </w:rPr>
            </w:pPr>
            <w:r>
              <w:rPr>
                <w:rFonts w:hint="eastAsia" w:asciiTheme="minorEastAsia" w:hAnsiTheme="minorEastAsia"/>
                <w:sz w:val="24"/>
                <w:szCs w:val="24"/>
              </w:rPr>
              <w:t>苏北医院影像数据远程归档</w:t>
            </w:r>
          </w:p>
        </w:tc>
        <w:tc>
          <w:tcPr>
            <w:tcW w:w="2551" w:type="dxa"/>
            <w:vAlign w:val="center"/>
          </w:tcPr>
          <w:p>
            <w:pPr>
              <w:jc w:val="center"/>
              <w:rPr>
                <w:rFonts w:asciiTheme="minorEastAsia" w:hAnsiTheme="minorEastAsia"/>
                <w:sz w:val="24"/>
                <w:szCs w:val="24"/>
              </w:rPr>
            </w:pPr>
            <w:r>
              <w:rPr>
                <w:rFonts w:hint="eastAsia" w:asciiTheme="minorEastAsia" w:hAnsiTheme="minorEastAsia"/>
                <w:sz w:val="24"/>
                <w:szCs w:val="24"/>
              </w:rPr>
              <w:t>与现有设备品牌一致（EMC）</w:t>
            </w:r>
          </w:p>
        </w:tc>
      </w:tr>
    </w:tbl>
    <w:p>
      <w:pPr>
        <w:rPr>
          <w:rFonts w:asciiTheme="minorEastAsia" w:hAnsiTheme="minorEastAsia"/>
          <w:sz w:val="28"/>
          <w:szCs w:val="28"/>
        </w:rPr>
      </w:pPr>
    </w:p>
    <w:p>
      <w:pPr>
        <w:rPr>
          <w:rFonts w:asciiTheme="minorEastAsia" w:hAnsiTheme="minorEastAsia"/>
          <w:b/>
          <w:sz w:val="28"/>
          <w:szCs w:val="28"/>
        </w:rPr>
      </w:pPr>
      <w:r>
        <w:rPr>
          <w:rFonts w:hint="eastAsia" w:asciiTheme="minorEastAsia" w:hAnsiTheme="minorEastAsia"/>
          <w:b/>
          <w:sz w:val="28"/>
          <w:szCs w:val="28"/>
        </w:rPr>
        <w:t>第三标段：洪泉医院HIS容灾软硬件采购</w:t>
      </w:r>
    </w:p>
    <w:tbl>
      <w:tblPr>
        <w:tblStyle w:val="11"/>
        <w:tblW w:w="10059" w:type="dxa"/>
        <w:tblInd w:w="-7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737"/>
        <w:gridCol w:w="1938"/>
        <w:gridCol w:w="850"/>
        <w:gridCol w:w="2882"/>
        <w:gridCol w:w="22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Align w:val="center"/>
          </w:tcPr>
          <w:p>
            <w:pPr>
              <w:jc w:val="center"/>
              <w:rPr>
                <w:rFonts w:asciiTheme="minorEastAsia" w:hAnsiTheme="minorEastAsia"/>
                <w:b/>
                <w:sz w:val="24"/>
                <w:szCs w:val="24"/>
              </w:rPr>
            </w:pPr>
            <w:r>
              <w:rPr>
                <w:rFonts w:hint="eastAsia" w:asciiTheme="minorEastAsia" w:hAnsiTheme="minorEastAsia"/>
                <w:b/>
                <w:sz w:val="24"/>
                <w:szCs w:val="24"/>
              </w:rPr>
              <w:t>区域</w:t>
            </w:r>
          </w:p>
        </w:tc>
        <w:tc>
          <w:tcPr>
            <w:tcW w:w="737" w:type="dxa"/>
            <w:vAlign w:val="center"/>
          </w:tcPr>
          <w:p>
            <w:pPr>
              <w:jc w:val="center"/>
              <w:rPr>
                <w:rFonts w:asciiTheme="minorEastAsia" w:hAnsiTheme="minorEastAsia"/>
                <w:b/>
                <w:sz w:val="24"/>
                <w:szCs w:val="24"/>
              </w:rPr>
            </w:pPr>
            <w:r>
              <w:rPr>
                <w:rFonts w:hint="eastAsia" w:asciiTheme="minorEastAsia" w:hAnsiTheme="minorEastAsia"/>
                <w:b/>
                <w:sz w:val="24"/>
                <w:szCs w:val="24"/>
              </w:rPr>
              <w:t>序号</w:t>
            </w:r>
          </w:p>
        </w:tc>
        <w:tc>
          <w:tcPr>
            <w:tcW w:w="1938" w:type="dxa"/>
            <w:vAlign w:val="center"/>
          </w:tcPr>
          <w:p>
            <w:pPr>
              <w:jc w:val="center"/>
              <w:rPr>
                <w:rFonts w:asciiTheme="minorEastAsia" w:hAnsiTheme="minorEastAsia"/>
                <w:b/>
                <w:sz w:val="24"/>
                <w:szCs w:val="24"/>
              </w:rPr>
            </w:pPr>
            <w:r>
              <w:rPr>
                <w:rFonts w:hint="eastAsia" w:asciiTheme="minorEastAsia" w:hAnsiTheme="minorEastAsia"/>
                <w:b/>
                <w:sz w:val="24"/>
                <w:szCs w:val="24"/>
              </w:rPr>
              <w:t>设备</w:t>
            </w:r>
          </w:p>
        </w:tc>
        <w:tc>
          <w:tcPr>
            <w:tcW w:w="850" w:type="dxa"/>
            <w:vAlign w:val="center"/>
          </w:tcPr>
          <w:p>
            <w:pPr>
              <w:jc w:val="center"/>
              <w:rPr>
                <w:rFonts w:asciiTheme="minorEastAsia" w:hAnsiTheme="minorEastAsia"/>
                <w:b/>
                <w:sz w:val="24"/>
                <w:szCs w:val="24"/>
              </w:rPr>
            </w:pPr>
            <w:r>
              <w:rPr>
                <w:rFonts w:hint="eastAsia" w:asciiTheme="minorEastAsia" w:hAnsiTheme="minorEastAsia"/>
                <w:b/>
                <w:sz w:val="24"/>
                <w:szCs w:val="24"/>
              </w:rPr>
              <w:t>数量</w:t>
            </w:r>
          </w:p>
        </w:tc>
        <w:tc>
          <w:tcPr>
            <w:tcW w:w="2882" w:type="dxa"/>
            <w:vAlign w:val="center"/>
          </w:tcPr>
          <w:p>
            <w:pPr>
              <w:jc w:val="center"/>
              <w:rPr>
                <w:rFonts w:asciiTheme="minorEastAsia" w:hAnsiTheme="minorEastAsia"/>
                <w:b/>
                <w:sz w:val="24"/>
                <w:szCs w:val="24"/>
              </w:rPr>
            </w:pPr>
            <w:r>
              <w:rPr>
                <w:rFonts w:hint="eastAsia" w:asciiTheme="minorEastAsia" w:hAnsiTheme="minorEastAsia"/>
                <w:b/>
                <w:sz w:val="24"/>
                <w:szCs w:val="24"/>
              </w:rPr>
              <w:t>用途</w:t>
            </w:r>
          </w:p>
        </w:tc>
        <w:tc>
          <w:tcPr>
            <w:tcW w:w="2268" w:type="dxa"/>
            <w:vAlign w:val="center"/>
          </w:tcPr>
          <w:p>
            <w:pPr>
              <w:jc w:val="center"/>
              <w:rPr>
                <w:rFonts w:asciiTheme="minorEastAsia" w:hAnsiTheme="minorEastAsia"/>
                <w:b/>
                <w:sz w:val="24"/>
                <w:szCs w:val="24"/>
              </w:rPr>
            </w:pPr>
            <w:r>
              <w:rPr>
                <w:rFonts w:hint="eastAsia" w:asciiTheme="minorEastAsia" w:hAnsiTheme="minorEastAsia"/>
                <w:b/>
                <w:sz w:val="24"/>
                <w:szCs w:val="24"/>
              </w:rPr>
              <w:t>品牌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洪泉医院</w:t>
            </w: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数据容灾软件</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882" w:type="dxa"/>
            <w:vAlign w:val="center"/>
          </w:tcPr>
          <w:p>
            <w:pPr>
              <w:jc w:val="center"/>
              <w:rPr>
                <w:rFonts w:asciiTheme="minorEastAsia" w:hAnsiTheme="minorEastAsia"/>
                <w:sz w:val="24"/>
                <w:szCs w:val="24"/>
              </w:rPr>
            </w:pPr>
            <w:r>
              <w:rPr>
                <w:rFonts w:hint="eastAsia" w:asciiTheme="minorEastAsia" w:hAnsiTheme="minorEastAsia"/>
                <w:sz w:val="24"/>
                <w:szCs w:val="24"/>
              </w:rPr>
              <w:t>苏北HIS系统数据库容灾软件</w:t>
            </w:r>
          </w:p>
        </w:tc>
        <w:tc>
          <w:tcPr>
            <w:tcW w:w="2268" w:type="dxa"/>
            <w:vAlign w:val="center"/>
          </w:tcPr>
          <w:p>
            <w:pPr>
              <w:jc w:val="center"/>
              <w:rPr>
                <w:rFonts w:asciiTheme="minorEastAsia" w:hAnsiTheme="minorEastAsia"/>
                <w:sz w:val="24"/>
                <w:szCs w:val="24"/>
              </w:rPr>
            </w:pPr>
            <w:r>
              <w:rPr>
                <w:rFonts w:hint="eastAsia" w:asciiTheme="minorEastAsia" w:hAnsiTheme="minorEastAsia"/>
                <w:sz w:val="24"/>
                <w:szCs w:val="24"/>
              </w:rPr>
              <w:t>ODG、OGG、</w:t>
            </w:r>
            <w:r>
              <w:rPr>
                <w:rFonts w:asciiTheme="minorEastAsia" w:hAnsiTheme="minorEastAsia"/>
                <w:sz w:val="24"/>
                <w:szCs w:val="24"/>
              </w:rPr>
              <w:t>DSG RealSync</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存储双活设备</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882" w:type="dxa"/>
            <w:vAlign w:val="center"/>
          </w:tcPr>
          <w:p>
            <w:pPr>
              <w:jc w:val="center"/>
              <w:rPr>
                <w:rFonts w:asciiTheme="minorEastAsia" w:hAnsiTheme="minorEastAsia"/>
                <w:sz w:val="24"/>
                <w:szCs w:val="24"/>
              </w:rPr>
            </w:pPr>
            <w:r>
              <w:rPr>
                <w:rFonts w:hint="eastAsia" w:asciiTheme="minorEastAsia" w:hAnsiTheme="minorEastAsia"/>
                <w:sz w:val="24"/>
                <w:szCs w:val="24"/>
              </w:rPr>
              <w:t>洪泉医院HIS数据存储底层同步软硬件设备</w:t>
            </w:r>
          </w:p>
        </w:tc>
        <w:tc>
          <w:tcPr>
            <w:tcW w:w="2268" w:type="dxa"/>
            <w:vAlign w:val="center"/>
          </w:tcPr>
          <w:p>
            <w:pPr>
              <w:jc w:val="center"/>
              <w:rPr>
                <w:rFonts w:asciiTheme="minorEastAsia" w:hAnsiTheme="minorEastAsia"/>
                <w:sz w:val="24"/>
                <w:szCs w:val="24"/>
              </w:rPr>
            </w:pPr>
            <w:r>
              <w:rPr>
                <w:rFonts w:hint="eastAsia" w:asciiTheme="minorEastAsia" w:hAnsiTheme="minorEastAsia"/>
                <w:sz w:val="24"/>
                <w:szCs w:val="24"/>
              </w:rPr>
              <w:t>EMC、HP、NETAPP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3</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核心交换机、光纤交换机级联模块</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4</w:t>
            </w:r>
          </w:p>
        </w:tc>
        <w:tc>
          <w:tcPr>
            <w:tcW w:w="2882" w:type="dxa"/>
            <w:vAlign w:val="center"/>
          </w:tcPr>
          <w:p>
            <w:pPr>
              <w:jc w:val="center"/>
              <w:rPr>
                <w:rFonts w:asciiTheme="minorEastAsia" w:hAnsiTheme="minorEastAsia"/>
                <w:sz w:val="24"/>
                <w:szCs w:val="24"/>
              </w:rPr>
            </w:pPr>
            <w:r>
              <w:rPr>
                <w:rFonts w:hint="eastAsia" w:asciiTheme="minorEastAsia" w:hAnsiTheme="minorEastAsia"/>
                <w:sz w:val="24"/>
                <w:szCs w:val="24"/>
              </w:rPr>
              <w:t>苏北-洪泉光纤网络的联通</w:t>
            </w:r>
          </w:p>
        </w:tc>
        <w:tc>
          <w:tcPr>
            <w:tcW w:w="2268" w:type="dxa"/>
            <w:vAlign w:val="center"/>
          </w:tcPr>
          <w:p>
            <w:pPr>
              <w:jc w:val="center"/>
              <w:rPr>
                <w:rFonts w:asciiTheme="minorEastAsia" w:hAnsiTheme="minorEastAsia"/>
                <w:sz w:val="24"/>
                <w:szCs w:val="24"/>
              </w:rPr>
            </w:pPr>
            <w:r>
              <w:rPr>
                <w:rFonts w:hint="eastAsia" w:asciiTheme="minorEastAsia" w:hAnsiTheme="minorEastAsia"/>
                <w:sz w:val="24"/>
                <w:szCs w:val="24"/>
              </w:rPr>
              <w:t>与现有设备品牌一致（CISCO）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4</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实施服务</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882" w:type="dxa"/>
            <w:vAlign w:val="center"/>
          </w:tcPr>
          <w:p>
            <w:pPr>
              <w:jc w:val="center"/>
              <w:rPr>
                <w:rFonts w:asciiTheme="minorEastAsia" w:hAnsiTheme="minorEastAsia"/>
                <w:sz w:val="24"/>
                <w:szCs w:val="24"/>
              </w:rPr>
            </w:pPr>
            <w:r>
              <w:rPr>
                <w:rFonts w:hint="eastAsia" w:ascii="宋体" w:hAnsi="宋体" w:eastAsia="宋体" w:cs="宋体"/>
                <w:color w:val="000000"/>
                <w:kern w:val="0"/>
                <w:sz w:val="24"/>
                <w:szCs w:val="24"/>
              </w:rPr>
              <w:t>实施原厂设备安装调试、数据库部署、数据迁移服务、容灾实施服务，并进行容灾切换、恢复演练测试等</w:t>
            </w:r>
          </w:p>
        </w:tc>
        <w:tc>
          <w:tcPr>
            <w:tcW w:w="2268" w:type="dxa"/>
            <w:vAlign w:val="center"/>
          </w:tcPr>
          <w:p>
            <w:pPr>
              <w:jc w:val="center"/>
              <w:rPr>
                <w:rFonts w:asciiTheme="minorEastAsia" w:hAnsiTheme="minorEastAsia"/>
                <w:sz w:val="24"/>
                <w:szCs w:val="24"/>
              </w:rPr>
            </w:pPr>
          </w:p>
        </w:tc>
      </w:tr>
    </w:tbl>
    <w:p>
      <w:pPr>
        <w:rPr>
          <w:rFonts w:asciiTheme="minorEastAsia" w:hAnsiTheme="minorEastAsia"/>
          <w:b/>
          <w:sz w:val="28"/>
          <w:szCs w:val="28"/>
        </w:rPr>
      </w:pPr>
    </w:p>
    <w:p>
      <w:pPr>
        <w:rPr>
          <w:rFonts w:asciiTheme="minorEastAsia" w:hAnsiTheme="minorEastAsia"/>
          <w:b/>
          <w:sz w:val="28"/>
          <w:szCs w:val="28"/>
        </w:rPr>
      </w:pPr>
      <w:r>
        <w:rPr>
          <w:rFonts w:hint="eastAsia" w:asciiTheme="minorEastAsia" w:hAnsiTheme="minorEastAsia"/>
          <w:b/>
          <w:sz w:val="28"/>
          <w:szCs w:val="28"/>
        </w:rPr>
        <w:t>第四标段：洪泉医院服务器、存储设备采购</w:t>
      </w:r>
    </w:p>
    <w:tbl>
      <w:tblPr>
        <w:tblStyle w:val="11"/>
        <w:tblW w:w="10059" w:type="dxa"/>
        <w:tblInd w:w="-73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84"/>
        <w:gridCol w:w="737"/>
        <w:gridCol w:w="1938"/>
        <w:gridCol w:w="850"/>
        <w:gridCol w:w="2599"/>
        <w:gridCol w:w="255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Align w:val="center"/>
          </w:tcPr>
          <w:p>
            <w:pPr>
              <w:jc w:val="center"/>
              <w:rPr>
                <w:rFonts w:asciiTheme="minorEastAsia" w:hAnsiTheme="minorEastAsia"/>
                <w:b/>
                <w:sz w:val="24"/>
                <w:szCs w:val="24"/>
              </w:rPr>
            </w:pPr>
            <w:r>
              <w:rPr>
                <w:rFonts w:hint="eastAsia" w:asciiTheme="minorEastAsia" w:hAnsiTheme="minorEastAsia"/>
                <w:b/>
                <w:sz w:val="24"/>
                <w:szCs w:val="24"/>
              </w:rPr>
              <w:t>区域</w:t>
            </w:r>
          </w:p>
        </w:tc>
        <w:tc>
          <w:tcPr>
            <w:tcW w:w="737" w:type="dxa"/>
            <w:vAlign w:val="center"/>
          </w:tcPr>
          <w:p>
            <w:pPr>
              <w:jc w:val="center"/>
              <w:rPr>
                <w:rFonts w:asciiTheme="minorEastAsia" w:hAnsiTheme="minorEastAsia"/>
                <w:b/>
                <w:sz w:val="24"/>
                <w:szCs w:val="24"/>
              </w:rPr>
            </w:pPr>
            <w:r>
              <w:rPr>
                <w:rFonts w:hint="eastAsia" w:asciiTheme="minorEastAsia" w:hAnsiTheme="minorEastAsia"/>
                <w:b/>
                <w:sz w:val="24"/>
                <w:szCs w:val="24"/>
              </w:rPr>
              <w:t>序号</w:t>
            </w:r>
          </w:p>
        </w:tc>
        <w:tc>
          <w:tcPr>
            <w:tcW w:w="1938" w:type="dxa"/>
            <w:vAlign w:val="center"/>
          </w:tcPr>
          <w:p>
            <w:pPr>
              <w:jc w:val="center"/>
              <w:rPr>
                <w:rFonts w:asciiTheme="minorEastAsia" w:hAnsiTheme="minorEastAsia"/>
                <w:b/>
                <w:sz w:val="24"/>
                <w:szCs w:val="24"/>
              </w:rPr>
            </w:pPr>
            <w:r>
              <w:rPr>
                <w:rFonts w:hint="eastAsia" w:asciiTheme="minorEastAsia" w:hAnsiTheme="minorEastAsia"/>
                <w:b/>
                <w:sz w:val="24"/>
                <w:szCs w:val="24"/>
              </w:rPr>
              <w:t>设备</w:t>
            </w:r>
          </w:p>
        </w:tc>
        <w:tc>
          <w:tcPr>
            <w:tcW w:w="850" w:type="dxa"/>
            <w:vAlign w:val="center"/>
          </w:tcPr>
          <w:p>
            <w:pPr>
              <w:jc w:val="center"/>
              <w:rPr>
                <w:rFonts w:asciiTheme="minorEastAsia" w:hAnsiTheme="minorEastAsia"/>
                <w:b/>
                <w:sz w:val="24"/>
                <w:szCs w:val="24"/>
              </w:rPr>
            </w:pPr>
            <w:r>
              <w:rPr>
                <w:rFonts w:hint="eastAsia" w:asciiTheme="minorEastAsia" w:hAnsiTheme="minorEastAsia"/>
                <w:b/>
                <w:sz w:val="24"/>
                <w:szCs w:val="24"/>
              </w:rPr>
              <w:t>数量</w:t>
            </w:r>
          </w:p>
        </w:tc>
        <w:tc>
          <w:tcPr>
            <w:tcW w:w="2599" w:type="dxa"/>
            <w:vAlign w:val="center"/>
          </w:tcPr>
          <w:p>
            <w:pPr>
              <w:jc w:val="center"/>
              <w:rPr>
                <w:rFonts w:asciiTheme="minorEastAsia" w:hAnsiTheme="minorEastAsia"/>
                <w:b/>
                <w:sz w:val="24"/>
                <w:szCs w:val="24"/>
              </w:rPr>
            </w:pPr>
            <w:r>
              <w:rPr>
                <w:rFonts w:hint="eastAsia" w:asciiTheme="minorEastAsia" w:hAnsiTheme="minorEastAsia"/>
                <w:b/>
                <w:sz w:val="24"/>
                <w:szCs w:val="24"/>
              </w:rPr>
              <w:t>用途</w:t>
            </w:r>
          </w:p>
        </w:tc>
        <w:tc>
          <w:tcPr>
            <w:tcW w:w="2551" w:type="dxa"/>
            <w:vAlign w:val="center"/>
          </w:tcPr>
          <w:p>
            <w:pPr>
              <w:jc w:val="center"/>
              <w:rPr>
                <w:rFonts w:asciiTheme="minorEastAsia" w:hAnsiTheme="minorEastAsia"/>
                <w:b/>
                <w:sz w:val="24"/>
                <w:szCs w:val="24"/>
              </w:rPr>
            </w:pPr>
            <w:r>
              <w:rPr>
                <w:rFonts w:hint="eastAsia" w:asciiTheme="minorEastAsia" w:hAnsiTheme="minorEastAsia"/>
                <w:b/>
                <w:sz w:val="24"/>
                <w:szCs w:val="24"/>
              </w:rPr>
              <w:t>品牌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restart"/>
            <w:vAlign w:val="center"/>
          </w:tcPr>
          <w:p>
            <w:pPr>
              <w:jc w:val="center"/>
              <w:rPr>
                <w:rFonts w:asciiTheme="minorEastAsia" w:hAnsiTheme="minorEastAsia"/>
                <w:sz w:val="24"/>
                <w:szCs w:val="24"/>
              </w:rPr>
            </w:pPr>
            <w:r>
              <w:rPr>
                <w:rFonts w:hint="eastAsia" w:asciiTheme="minorEastAsia" w:hAnsiTheme="minorEastAsia"/>
                <w:sz w:val="24"/>
                <w:szCs w:val="24"/>
              </w:rPr>
              <w:t>洪泉医院</w:t>
            </w: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小型机服务器</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2599" w:type="dxa"/>
            <w:vAlign w:val="center"/>
          </w:tcPr>
          <w:p>
            <w:pPr>
              <w:jc w:val="center"/>
              <w:rPr>
                <w:rFonts w:asciiTheme="minorEastAsia" w:hAnsiTheme="minorEastAsia"/>
                <w:sz w:val="24"/>
                <w:szCs w:val="24"/>
              </w:rPr>
            </w:pPr>
            <w:r>
              <w:rPr>
                <w:rFonts w:hint="eastAsia" w:asciiTheme="minorEastAsia" w:hAnsiTheme="minorEastAsia"/>
                <w:sz w:val="24"/>
                <w:szCs w:val="24"/>
              </w:rPr>
              <w:t>洪泉医院HIS系统应用服务器</w:t>
            </w:r>
          </w:p>
        </w:tc>
        <w:tc>
          <w:tcPr>
            <w:tcW w:w="2551" w:type="dxa"/>
            <w:vAlign w:val="center"/>
          </w:tcPr>
          <w:p>
            <w:pPr>
              <w:jc w:val="center"/>
              <w:rPr>
                <w:rFonts w:asciiTheme="minorEastAsia" w:hAnsiTheme="minorEastAsia"/>
                <w:sz w:val="24"/>
                <w:szCs w:val="24"/>
              </w:rPr>
            </w:pPr>
            <w:r>
              <w:rPr>
                <w:rFonts w:hint="eastAsia" w:asciiTheme="minorEastAsia" w:hAnsiTheme="minorEastAsia"/>
                <w:sz w:val="24"/>
                <w:szCs w:val="24"/>
              </w:rPr>
              <w:t>Oracle、IBM、HP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2</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数据存储设备</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599" w:type="dxa"/>
            <w:vAlign w:val="center"/>
          </w:tcPr>
          <w:p>
            <w:pPr>
              <w:jc w:val="center"/>
              <w:rPr>
                <w:rFonts w:asciiTheme="minorEastAsia" w:hAnsiTheme="minorEastAsia"/>
                <w:sz w:val="24"/>
                <w:szCs w:val="24"/>
              </w:rPr>
            </w:pPr>
            <w:r>
              <w:rPr>
                <w:rFonts w:hint="eastAsia" w:asciiTheme="minorEastAsia" w:hAnsiTheme="minorEastAsia"/>
                <w:sz w:val="24"/>
                <w:szCs w:val="24"/>
              </w:rPr>
              <w:t>洪泉医院HIS数据存储及苏北医院HIS数据灾备存储</w:t>
            </w:r>
          </w:p>
        </w:tc>
        <w:tc>
          <w:tcPr>
            <w:tcW w:w="2551" w:type="dxa"/>
            <w:vAlign w:val="center"/>
          </w:tcPr>
          <w:p>
            <w:pPr>
              <w:jc w:val="center"/>
              <w:rPr>
                <w:rFonts w:asciiTheme="minorEastAsia" w:hAnsiTheme="minorEastAsia"/>
                <w:sz w:val="24"/>
                <w:szCs w:val="24"/>
              </w:rPr>
            </w:pPr>
            <w:r>
              <w:rPr>
                <w:rFonts w:hint="eastAsia" w:asciiTheme="minorEastAsia" w:hAnsiTheme="minorEastAsia"/>
                <w:sz w:val="24"/>
                <w:szCs w:val="24"/>
              </w:rPr>
              <w:t>EMC、HP、NETAPP</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60" w:hRule="atLeast"/>
        </w:trPr>
        <w:tc>
          <w:tcPr>
            <w:tcW w:w="1384" w:type="dxa"/>
            <w:vMerge w:val="continue"/>
            <w:vAlign w:val="center"/>
          </w:tcPr>
          <w:p>
            <w:pPr>
              <w:jc w:val="center"/>
              <w:rPr>
                <w:rFonts w:asciiTheme="minorEastAsia" w:hAnsiTheme="minorEastAsia"/>
                <w:sz w:val="24"/>
                <w:szCs w:val="24"/>
              </w:rPr>
            </w:pPr>
          </w:p>
        </w:tc>
        <w:tc>
          <w:tcPr>
            <w:tcW w:w="737" w:type="dxa"/>
            <w:vAlign w:val="center"/>
          </w:tcPr>
          <w:p>
            <w:pPr>
              <w:jc w:val="center"/>
              <w:rPr>
                <w:rFonts w:asciiTheme="minorEastAsia" w:hAnsiTheme="minorEastAsia"/>
                <w:sz w:val="24"/>
                <w:szCs w:val="24"/>
              </w:rPr>
            </w:pPr>
            <w:r>
              <w:rPr>
                <w:rFonts w:hint="eastAsia" w:asciiTheme="minorEastAsia" w:hAnsiTheme="minorEastAsia"/>
                <w:sz w:val="24"/>
                <w:szCs w:val="24"/>
              </w:rPr>
              <w:t>3</w:t>
            </w:r>
          </w:p>
        </w:tc>
        <w:tc>
          <w:tcPr>
            <w:tcW w:w="1938" w:type="dxa"/>
            <w:vAlign w:val="center"/>
          </w:tcPr>
          <w:p>
            <w:pPr>
              <w:jc w:val="center"/>
              <w:rPr>
                <w:rFonts w:asciiTheme="minorEastAsia" w:hAnsiTheme="minorEastAsia"/>
                <w:sz w:val="24"/>
                <w:szCs w:val="24"/>
              </w:rPr>
            </w:pPr>
            <w:r>
              <w:rPr>
                <w:rFonts w:hint="eastAsia" w:asciiTheme="minorEastAsia" w:hAnsiTheme="minorEastAsia"/>
                <w:sz w:val="24"/>
                <w:szCs w:val="24"/>
              </w:rPr>
              <w:t>影像存储设备</w:t>
            </w:r>
          </w:p>
        </w:tc>
        <w:tc>
          <w:tcPr>
            <w:tcW w:w="850" w:type="dxa"/>
            <w:vAlign w:val="center"/>
          </w:tcPr>
          <w:p>
            <w:pPr>
              <w:jc w:val="center"/>
              <w:rPr>
                <w:rFonts w:asciiTheme="minorEastAsia" w:hAnsiTheme="minorEastAsia"/>
                <w:sz w:val="24"/>
                <w:szCs w:val="24"/>
              </w:rPr>
            </w:pPr>
            <w:r>
              <w:rPr>
                <w:rFonts w:hint="eastAsia" w:asciiTheme="minorEastAsia" w:hAnsiTheme="minorEastAsia"/>
                <w:sz w:val="24"/>
                <w:szCs w:val="24"/>
              </w:rPr>
              <w:t>1</w:t>
            </w:r>
          </w:p>
        </w:tc>
        <w:tc>
          <w:tcPr>
            <w:tcW w:w="2599" w:type="dxa"/>
            <w:vAlign w:val="center"/>
          </w:tcPr>
          <w:p>
            <w:pPr>
              <w:jc w:val="center"/>
              <w:rPr>
                <w:rFonts w:asciiTheme="minorEastAsia" w:hAnsiTheme="minorEastAsia"/>
                <w:sz w:val="24"/>
                <w:szCs w:val="24"/>
              </w:rPr>
            </w:pPr>
            <w:r>
              <w:rPr>
                <w:rFonts w:hint="eastAsia" w:asciiTheme="minorEastAsia" w:hAnsiTheme="minorEastAsia"/>
                <w:sz w:val="24"/>
                <w:szCs w:val="24"/>
              </w:rPr>
              <w:t>洪泉医院影像数据存储及苏北医院部分影像归档数据灾备</w:t>
            </w:r>
          </w:p>
        </w:tc>
        <w:tc>
          <w:tcPr>
            <w:tcW w:w="2551" w:type="dxa"/>
            <w:vAlign w:val="center"/>
          </w:tcPr>
          <w:p>
            <w:pPr>
              <w:jc w:val="center"/>
              <w:rPr>
                <w:rFonts w:asciiTheme="minorEastAsia" w:hAnsiTheme="minorEastAsia"/>
                <w:sz w:val="24"/>
                <w:szCs w:val="24"/>
              </w:rPr>
            </w:pPr>
            <w:r>
              <w:rPr>
                <w:rFonts w:hint="eastAsia" w:asciiTheme="minorEastAsia" w:hAnsiTheme="minorEastAsia"/>
                <w:sz w:val="24"/>
                <w:szCs w:val="24"/>
              </w:rPr>
              <w:t>EMC、HP、NETAPP</w:t>
            </w:r>
          </w:p>
        </w:tc>
      </w:tr>
    </w:tbl>
    <w:p>
      <w:pPr>
        <w:pStyle w:val="14"/>
        <w:numPr>
          <w:ilvl w:val="0"/>
          <w:numId w:val="1"/>
        </w:numPr>
        <w:ind w:firstLineChars="0"/>
        <w:outlineLvl w:val="0"/>
        <w:rPr>
          <w:rFonts w:asciiTheme="minorEastAsia" w:hAnsiTheme="minorEastAsia"/>
          <w:b/>
          <w:sz w:val="28"/>
          <w:szCs w:val="28"/>
        </w:rPr>
      </w:pPr>
      <w:r>
        <w:rPr>
          <w:rFonts w:hint="eastAsia" w:asciiTheme="minorEastAsia" w:hAnsiTheme="minorEastAsia"/>
          <w:b/>
          <w:sz w:val="28"/>
          <w:szCs w:val="28"/>
        </w:rPr>
        <w:t>具体参数要求（带</w:t>
      </w:r>
      <w:r>
        <w:rPr>
          <w:rFonts w:asciiTheme="minorEastAsia" w:hAnsiTheme="minorEastAsia"/>
          <w:color w:val="000000"/>
          <w:sz w:val="24"/>
          <w:szCs w:val="24"/>
        </w:rPr>
        <w:t>★</w:t>
      </w:r>
      <w:r>
        <w:rPr>
          <w:rFonts w:hint="eastAsia" w:asciiTheme="minorEastAsia" w:hAnsiTheme="minorEastAsia"/>
          <w:b/>
          <w:sz w:val="28"/>
          <w:szCs w:val="28"/>
        </w:rPr>
        <w:t>号为必须满足项）</w:t>
      </w:r>
    </w:p>
    <w:p>
      <w:pPr>
        <w:spacing w:line="360" w:lineRule="auto"/>
        <w:ind w:firstLine="480" w:firstLineChars="200"/>
        <w:rPr>
          <w:rFonts w:cs="宋体" w:asciiTheme="minorEastAsia" w:hAnsiTheme="minorEastAsia"/>
          <w:color w:val="000000" w:themeColor="text1"/>
          <w:kern w:val="0"/>
          <w:sz w:val="24"/>
          <w:szCs w:val="24"/>
        </w:rPr>
      </w:pPr>
      <w:r>
        <w:rPr>
          <w:rFonts w:hint="eastAsia" w:asciiTheme="minorEastAsia" w:hAnsiTheme="minorEastAsia"/>
          <w:sz w:val="24"/>
          <w:szCs w:val="24"/>
        </w:rPr>
        <w:t>以下所有软硬件产品均需提供安装、调试以及与之相关的业务调整、数据迁移、灾备演练等服务。为了确保相关产品能够得到原厂的优质服务，以及后续的原厂技术支持，本次项目要求</w:t>
      </w:r>
      <w:r>
        <w:rPr>
          <w:rFonts w:hint="eastAsia" w:cs="宋体" w:asciiTheme="minorEastAsia" w:hAnsiTheme="minorEastAsia"/>
          <w:color w:val="000000" w:themeColor="text1"/>
          <w:kern w:val="0"/>
          <w:sz w:val="24"/>
          <w:szCs w:val="24"/>
        </w:rPr>
        <w:t>报价时提供原厂授权和原厂服务承诺函，同时所有软硬件产品供应商均需提供三年免费服务,并要求所有软硬件产品均为原厂官网在售的最新系列产品。所有软件均需是原厂正版许可，所有硬件均是原厂一体化出厂。</w:t>
      </w:r>
    </w:p>
    <w:p>
      <w:pPr>
        <w:pStyle w:val="3"/>
        <w:rPr>
          <w:rFonts w:asciiTheme="minorEastAsia" w:hAnsiTheme="minorEastAsia"/>
          <w:sz w:val="28"/>
          <w:szCs w:val="28"/>
        </w:rPr>
      </w:pPr>
      <w:r>
        <w:rPr>
          <w:rFonts w:hint="eastAsia" w:asciiTheme="minorEastAsia" w:hAnsiTheme="minorEastAsia"/>
          <w:sz w:val="28"/>
          <w:szCs w:val="28"/>
        </w:rPr>
        <w:t>第一标段：苏北医院HIS容灾软硬件采购参数要求</w:t>
      </w:r>
    </w:p>
    <w:p>
      <w:pPr>
        <w:pStyle w:val="3"/>
        <w:spacing w:before="100" w:beforeAutospacing="1" w:after="100" w:afterAutospacing="1"/>
        <w:rPr>
          <w:rFonts w:asciiTheme="minorEastAsia" w:hAnsiTheme="minorEastAsia"/>
          <w:sz w:val="28"/>
          <w:szCs w:val="28"/>
        </w:rPr>
      </w:pPr>
      <w:r>
        <w:rPr>
          <w:rFonts w:hint="eastAsia" w:asciiTheme="minorEastAsia" w:hAnsiTheme="minorEastAsia"/>
          <w:sz w:val="28"/>
          <w:szCs w:val="28"/>
        </w:rPr>
        <w:t>4.1 苏北医院数据库容灾软件(数量:1套)</w:t>
      </w:r>
    </w:p>
    <w:tbl>
      <w:tblPr>
        <w:tblStyle w:val="10"/>
        <w:tblW w:w="8773" w:type="dxa"/>
        <w:jc w:val="center"/>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1"/>
        <w:gridCol w:w="1417"/>
        <w:gridCol w:w="6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7" w:hRule="atLeast"/>
          <w:jc w:val="center"/>
        </w:trPr>
        <w:tc>
          <w:tcPr>
            <w:tcW w:w="761" w:type="dxa"/>
            <w:shd w:val="clear" w:color="auto" w:fill="D9D9D9"/>
            <w:tcMar>
              <w:top w:w="0" w:type="dxa"/>
              <w:left w:w="108" w:type="dxa"/>
              <w:bottom w:w="0" w:type="dxa"/>
              <w:right w:w="108" w:type="dxa"/>
            </w:tcMar>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序号</w:t>
            </w:r>
          </w:p>
        </w:tc>
        <w:tc>
          <w:tcPr>
            <w:tcW w:w="1417" w:type="dxa"/>
            <w:shd w:val="clear" w:color="auto" w:fill="D9D9D9"/>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技术指标</w:t>
            </w:r>
          </w:p>
        </w:tc>
        <w:tc>
          <w:tcPr>
            <w:tcW w:w="6595" w:type="dxa"/>
            <w:shd w:val="clear" w:color="auto" w:fill="D9D9D9"/>
            <w:tcMar>
              <w:top w:w="0" w:type="dxa"/>
              <w:left w:w="108" w:type="dxa"/>
              <w:bottom w:w="0" w:type="dxa"/>
              <w:right w:w="108" w:type="dxa"/>
            </w:tcMar>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5" w:hRule="atLeast"/>
          <w:jc w:val="center"/>
        </w:trPr>
        <w:tc>
          <w:tcPr>
            <w:tcW w:w="761" w:type="dxa"/>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1</w:t>
            </w:r>
          </w:p>
        </w:tc>
        <w:tc>
          <w:tcPr>
            <w:tcW w:w="1417"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操作系统支持</w:t>
            </w: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数据库复制软件需具备良好的平台支持性，能够支持主流的操作系统，如：UNIX、Linux、Windows等操作系统平台。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2</w:t>
            </w:r>
          </w:p>
        </w:tc>
        <w:tc>
          <w:tcPr>
            <w:tcW w:w="1417"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高可用支持</w:t>
            </w: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支持高可用集群软件、支持ORACLE RAC。请提供支持的高可用环境列表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restart"/>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3</w:t>
            </w:r>
          </w:p>
        </w:tc>
        <w:tc>
          <w:tcPr>
            <w:tcW w:w="1417" w:type="dxa"/>
            <w:vMerge w:val="restart"/>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asciiTheme="minorEastAsia" w:hAnsiTheme="minorEastAsia"/>
                <w:color w:val="000000"/>
                <w:sz w:val="24"/>
                <w:szCs w:val="24"/>
              </w:rPr>
              <w:t>★</w:t>
            </w:r>
            <w:r>
              <w:rPr>
                <w:rFonts w:hint="eastAsia" w:cs="宋体" w:asciiTheme="minorEastAsia" w:hAnsiTheme="minorEastAsia"/>
                <w:color w:val="000000" w:themeColor="text1"/>
                <w:kern w:val="0"/>
                <w:sz w:val="24"/>
                <w:szCs w:val="24"/>
              </w:rPr>
              <w:t>功能要求</w:t>
            </w: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复制软件对于主库的所有数据类型、所有操作，都能够复制到灾备端，以便最快的进行主备切换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417" w:type="dxa"/>
            <w:vMerge w:val="continue"/>
            <w:vAlign w:val="center"/>
          </w:tcPr>
          <w:p>
            <w:pPr>
              <w:widowControl/>
              <w:jc w:val="left"/>
              <w:rPr>
                <w:rFonts w:cs="宋体" w:asciiTheme="minorEastAsia" w:hAnsiTheme="minorEastAsia"/>
                <w:color w:val="000000" w:themeColor="text1"/>
                <w:kern w:val="0"/>
                <w:sz w:val="24"/>
                <w:szCs w:val="24"/>
              </w:rPr>
            </w:pP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复制软件应该基于日志捕捉的方式，而不是通过触发器等技术来实现，不会对生产库进行 数据扫描操作，造成主库过渡资源消耗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417" w:type="dxa"/>
            <w:vMerge w:val="continue"/>
            <w:vAlign w:val="center"/>
          </w:tcPr>
          <w:p>
            <w:pPr>
              <w:widowControl/>
              <w:jc w:val="left"/>
              <w:rPr>
                <w:rFonts w:cs="宋体" w:asciiTheme="minorEastAsia" w:hAnsiTheme="minorEastAsia"/>
                <w:color w:val="000000" w:themeColor="text1"/>
                <w:kern w:val="0"/>
                <w:sz w:val="24"/>
                <w:szCs w:val="24"/>
              </w:rPr>
            </w:pP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bCs/>
                <w:color w:val="000000" w:themeColor="text1"/>
                <w:kern w:val="0"/>
                <w:sz w:val="24"/>
                <w:szCs w:val="24"/>
              </w:rPr>
              <w:t>复制软件在灾备端需基于日志恢复的方式进行数据同步，避免转换成逻辑SQL语句的方式在灾备端提交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417" w:type="dxa"/>
            <w:vMerge w:val="continue"/>
            <w:vAlign w:val="center"/>
          </w:tcPr>
          <w:p>
            <w:pPr>
              <w:widowControl/>
              <w:jc w:val="left"/>
              <w:rPr>
                <w:rFonts w:cs="宋体" w:asciiTheme="minorEastAsia" w:hAnsiTheme="minorEastAsia"/>
                <w:color w:val="000000" w:themeColor="text1"/>
                <w:kern w:val="0"/>
                <w:sz w:val="24"/>
                <w:szCs w:val="24"/>
              </w:rPr>
            </w:pP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复制软件需要确保主备端数据的一致性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417" w:type="dxa"/>
            <w:vMerge w:val="continue"/>
            <w:vAlign w:val="center"/>
          </w:tcPr>
          <w:p>
            <w:pPr>
              <w:widowControl/>
              <w:jc w:val="left"/>
              <w:rPr>
                <w:rFonts w:cs="宋体" w:asciiTheme="minorEastAsia" w:hAnsiTheme="minorEastAsia"/>
                <w:color w:val="000000" w:themeColor="text1"/>
                <w:kern w:val="0"/>
                <w:sz w:val="24"/>
                <w:szCs w:val="24"/>
              </w:rPr>
            </w:pP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bCs/>
                <w:color w:val="000000" w:themeColor="text1"/>
                <w:kern w:val="0"/>
                <w:sz w:val="24"/>
                <w:szCs w:val="24"/>
              </w:rPr>
              <w:t>主备端能够自动检测数据损坏(坏块)，同时能够利用对端的完整数据（好块）进行自我修复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417" w:type="dxa"/>
            <w:vMerge w:val="continue"/>
            <w:vAlign w:val="center"/>
          </w:tcPr>
          <w:p>
            <w:pPr>
              <w:widowControl/>
              <w:jc w:val="left"/>
              <w:rPr>
                <w:rFonts w:cs="宋体" w:asciiTheme="minorEastAsia" w:hAnsiTheme="minorEastAsia"/>
                <w:color w:val="000000" w:themeColor="text1"/>
                <w:kern w:val="0"/>
                <w:sz w:val="24"/>
                <w:szCs w:val="24"/>
              </w:rPr>
            </w:pP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bCs/>
                <w:color w:val="000000" w:themeColor="text1"/>
                <w:kern w:val="0"/>
                <w:sz w:val="24"/>
                <w:szCs w:val="24"/>
              </w:rPr>
              <w:t>复制软件支持在目标端采用多线程或者并行方式进行数据恢复。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jc w:val="center"/>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417" w:type="dxa"/>
            <w:vMerge w:val="continue"/>
            <w:vAlign w:val="center"/>
          </w:tcPr>
          <w:p>
            <w:pPr>
              <w:widowControl/>
              <w:jc w:val="left"/>
              <w:rPr>
                <w:rFonts w:cs="宋体" w:asciiTheme="minorEastAsia" w:hAnsiTheme="minorEastAsia"/>
                <w:color w:val="000000" w:themeColor="text1"/>
                <w:kern w:val="0"/>
                <w:sz w:val="24"/>
                <w:szCs w:val="24"/>
              </w:rPr>
            </w:pPr>
          </w:p>
        </w:tc>
        <w:tc>
          <w:tcPr>
            <w:tcW w:w="6595"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复制软件应支持一对一，一对多，以及级联的数据复制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5" w:hRule="atLeast"/>
          <w:jc w:val="center"/>
        </w:trPr>
        <w:tc>
          <w:tcPr>
            <w:tcW w:w="761" w:type="dxa"/>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4</w:t>
            </w:r>
          </w:p>
        </w:tc>
        <w:tc>
          <w:tcPr>
            <w:tcW w:w="1417"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监控管理</w:t>
            </w:r>
          </w:p>
        </w:tc>
        <w:tc>
          <w:tcPr>
            <w:tcW w:w="6595" w:type="dxa"/>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提供统一的管理监控平台，对于整个的复制配置环境(包括复制软件、源库、目标库等)都能够统一在该平台下进行统一的管理、监控、配置：</w:t>
            </w:r>
          </w:p>
          <w:p>
            <w:pPr>
              <w:widowControl/>
              <w:spacing w:line="312" w:lineRule="atLeast"/>
              <w:ind w:left="360" w:hanging="360"/>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1）对复制软件的运行状态、运行日志、系统配置等方面进行统一的管理及监控，保证出现错误时具有完整的报警及跟踪机制，方便故障的快速定位；</w:t>
            </w:r>
          </w:p>
          <w:p>
            <w:pPr>
              <w:widowControl/>
              <w:spacing w:line="312" w:lineRule="atLeast"/>
              <w:ind w:left="360" w:hanging="360"/>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2）对生产库、目标库的运行状态等进行统一的监控和管理。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5" w:hRule="atLeast"/>
          <w:jc w:val="center"/>
        </w:trPr>
        <w:tc>
          <w:tcPr>
            <w:tcW w:w="761" w:type="dxa"/>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5</w:t>
            </w:r>
          </w:p>
        </w:tc>
        <w:tc>
          <w:tcPr>
            <w:tcW w:w="1417"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asciiTheme="minorEastAsia" w:hAnsiTheme="minorEastAsia"/>
                <w:color w:val="000000"/>
                <w:sz w:val="24"/>
                <w:szCs w:val="24"/>
              </w:rPr>
              <w:t>★</w:t>
            </w:r>
            <w:r>
              <w:rPr>
                <w:rFonts w:hint="eastAsia" w:cs="宋体" w:asciiTheme="minorEastAsia" w:hAnsiTheme="minorEastAsia"/>
                <w:color w:val="000000" w:themeColor="text1"/>
                <w:kern w:val="0"/>
                <w:sz w:val="24"/>
                <w:szCs w:val="24"/>
              </w:rPr>
              <w:t>服务与授权</w:t>
            </w:r>
          </w:p>
        </w:tc>
        <w:tc>
          <w:tcPr>
            <w:tcW w:w="6595" w:type="dxa"/>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需实现苏北医院本地容灾以及与洪泉医院的异地容灾，本次项目需配置原厂正版许可。</w:t>
            </w:r>
          </w:p>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报价时需提供原厂授权和原厂服务承诺函，如因产品许可带来的任何影响 ，均由供应商承担相关责任。</w:t>
            </w:r>
          </w:p>
        </w:tc>
      </w:tr>
    </w:tbl>
    <w:p>
      <w:pPr>
        <w:rPr>
          <w:rFonts w:asciiTheme="minorEastAsia" w:hAnsiTheme="minorEastAsia"/>
          <w:sz w:val="28"/>
          <w:szCs w:val="28"/>
        </w:rPr>
      </w:pPr>
    </w:p>
    <w:p>
      <w:pPr>
        <w:pStyle w:val="3"/>
        <w:rPr>
          <w:rFonts w:asciiTheme="minorEastAsia" w:hAnsiTheme="minorEastAsia"/>
          <w:sz w:val="24"/>
          <w:szCs w:val="24"/>
        </w:rPr>
      </w:pPr>
      <w:r>
        <w:rPr>
          <w:rFonts w:hint="eastAsia" w:asciiTheme="minorEastAsia" w:hAnsiTheme="minorEastAsia"/>
          <w:sz w:val="28"/>
          <w:szCs w:val="28"/>
        </w:rPr>
        <w:t>4.2 苏北医院存储容灾软件(数量:1套)</w:t>
      </w:r>
    </w:p>
    <w:p>
      <w:pPr>
        <w:spacing w:line="360" w:lineRule="auto"/>
        <w:ind w:firstLine="480" w:firstLineChars="200"/>
      </w:pPr>
      <w:r>
        <w:rPr>
          <w:rFonts w:hint="eastAsia" w:asciiTheme="minorEastAsia" w:hAnsiTheme="minorEastAsia" w:cstheme="minorHAnsi"/>
          <w:sz w:val="24"/>
          <w:szCs w:val="24"/>
        </w:rPr>
        <w:t>苏北医院现有的一套存储网关设备连接了医院所有的核心业务系统及相关的设备，本次项目需对存储网关进行升级，以实现苏北-洪泉之间的底层存储数据的容灾，各厂商或供应商可根据自身的情况选择适合我院需求的方案。</w:t>
      </w:r>
    </w:p>
    <w:tbl>
      <w:tblPr>
        <w:tblStyle w:val="10"/>
        <w:tblW w:w="8752" w:type="dxa"/>
        <w:tblInd w:w="-50" w:type="dxa"/>
        <w:tblLayout w:type="fixed"/>
        <w:tblCellMar>
          <w:top w:w="55" w:type="dxa"/>
          <w:left w:w="55" w:type="dxa"/>
          <w:bottom w:w="55" w:type="dxa"/>
          <w:right w:w="55" w:type="dxa"/>
        </w:tblCellMar>
      </w:tblPr>
      <w:tblGrid>
        <w:gridCol w:w="672"/>
        <w:gridCol w:w="1414"/>
        <w:gridCol w:w="6666"/>
      </w:tblGrid>
      <w:tr>
        <w:tblPrEx>
          <w:tblLayout w:type="fixed"/>
          <w:tblCellMar>
            <w:top w:w="55" w:type="dxa"/>
            <w:left w:w="55" w:type="dxa"/>
            <w:bottom w:w="55" w:type="dxa"/>
            <w:right w:w="55" w:type="dxa"/>
          </w:tblCellMar>
        </w:tblPrEx>
        <w:tc>
          <w:tcPr>
            <w:tcW w:w="672" w:type="dxa"/>
            <w:tcBorders>
              <w:top w:val="single" w:color="000000" w:sz="2" w:space="0"/>
              <w:left w:val="single" w:color="000000" w:sz="2" w:space="0"/>
              <w:bottom w:val="single" w:color="000000" w:sz="2" w:space="0"/>
              <w:right w:val="nil"/>
            </w:tcBorders>
            <w:shd w:val="clear" w:color="auto" w:fill="EEECE1"/>
            <w:vAlign w:val="center"/>
          </w:tcPr>
          <w:p>
            <w:pPr>
              <w:jc w:val="center"/>
              <w:rPr>
                <w:rFonts w:asciiTheme="minorEastAsia" w:hAnsiTheme="minorEastAsia" w:cstheme="minorHAnsi"/>
                <w:b/>
                <w:sz w:val="24"/>
                <w:szCs w:val="24"/>
              </w:rPr>
            </w:pPr>
            <w:r>
              <w:rPr>
                <w:rFonts w:asciiTheme="minorEastAsia" w:hAnsiTheme="minorEastAsia" w:cstheme="minorHAnsi"/>
                <w:b/>
                <w:sz w:val="24"/>
                <w:szCs w:val="24"/>
              </w:rPr>
              <w:t>序号</w:t>
            </w:r>
          </w:p>
        </w:tc>
        <w:tc>
          <w:tcPr>
            <w:tcW w:w="1414" w:type="dxa"/>
            <w:tcBorders>
              <w:top w:val="single" w:color="000000" w:sz="2" w:space="0"/>
              <w:left w:val="single" w:color="000000" w:sz="2" w:space="0"/>
              <w:bottom w:val="single" w:color="000000" w:sz="2" w:space="0"/>
              <w:right w:val="nil"/>
            </w:tcBorders>
            <w:shd w:val="clear" w:color="auto" w:fill="EEECE1"/>
            <w:vAlign w:val="center"/>
          </w:tcPr>
          <w:p>
            <w:pPr>
              <w:jc w:val="center"/>
              <w:rPr>
                <w:rFonts w:asciiTheme="minorEastAsia" w:hAnsiTheme="minorEastAsia" w:cstheme="minorHAnsi"/>
                <w:b/>
                <w:sz w:val="24"/>
                <w:szCs w:val="24"/>
              </w:rPr>
            </w:pPr>
            <w:r>
              <w:rPr>
                <w:rFonts w:hint="eastAsia" w:asciiTheme="minorEastAsia" w:hAnsiTheme="minorEastAsia" w:cstheme="minorHAnsi"/>
                <w:b/>
                <w:sz w:val="24"/>
                <w:szCs w:val="24"/>
              </w:rPr>
              <w:t>技术指标</w:t>
            </w:r>
          </w:p>
        </w:tc>
        <w:tc>
          <w:tcPr>
            <w:tcW w:w="6666" w:type="dxa"/>
            <w:tcBorders>
              <w:top w:val="single" w:color="000000" w:sz="2" w:space="0"/>
              <w:left w:val="single" w:color="000000" w:sz="2" w:space="0"/>
              <w:bottom w:val="single" w:color="000000" w:sz="2" w:space="0"/>
              <w:right w:val="single" w:color="auto" w:sz="4" w:space="0"/>
            </w:tcBorders>
            <w:shd w:val="clear" w:color="auto" w:fill="EEECE1"/>
            <w:vAlign w:val="center"/>
          </w:tcPr>
          <w:p>
            <w:pPr>
              <w:jc w:val="center"/>
              <w:rPr>
                <w:rFonts w:asciiTheme="minorEastAsia" w:hAnsiTheme="minorEastAsia" w:cstheme="minorHAnsi"/>
                <w:b/>
                <w:sz w:val="24"/>
                <w:szCs w:val="24"/>
              </w:rPr>
            </w:pPr>
            <w:r>
              <w:rPr>
                <w:rFonts w:hint="eastAsia" w:asciiTheme="minorEastAsia" w:hAnsiTheme="minorEastAsia" w:cstheme="minorHAnsi"/>
                <w:b/>
                <w:sz w:val="24"/>
                <w:szCs w:val="24"/>
              </w:rPr>
              <w:t>指标说明</w:t>
            </w:r>
          </w:p>
        </w:tc>
      </w:tr>
      <w:tr>
        <w:tblPrEx>
          <w:tblLayout w:type="fixed"/>
          <w:tblCellMar>
            <w:top w:w="55" w:type="dxa"/>
            <w:left w:w="55" w:type="dxa"/>
            <w:bottom w:w="55" w:type="dxa"/>
            <w:right w:w="55" w:type="dxa"/>
          </w:tblCellMar>
        </w:tblPrEx>
        <w:trPr>
          <w:trHeight w:val="28" w:hRule="atLeast"/>
        </w:trPr>
        <w:tc>
          <w:tcPr>
            <w:tcW w:w="672" w:type="dxa"/>
            <w:vMerge w:val="restart"/>
            <w:tcBorders>
              <w:top w:val="single" w:color="000000" w:sz="2" w:space="0"/>
              <w:left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1</w:t>
            </w:r>
          </w:p>
        </w:tc>
        <w:tc>
          <w:tcPr>
            <w:tcW w:w="1414" w:type="dxa"/>
            <w:vMerge w:val="restart"/>
            <w:tcBorders>
              <w:top w:val="single" w:color="000000" w:sz="2" w:space="0"/>
              <w:left w:val="single" w:color="000000" w:sz="2" w:space="0"/>
              <w:right w:val="nil"/>
            </w:tcBorders>
            <w:vAlign w:val="center"/>
          </w:tcPr>
          <w:p>
            <w:pPr>
              <w:jc w:val="left"/>
              <w:rPr>
                <w:rFonts w:cs="Segoe UI Symbol" w:asciiTheme="minorEastAsia" w:hAnsiTheme="minorEastAsia"/>
                <w:bCs/>
                <w:sz w:val="24"/>
                <w:szCs w:val="24"/>
              </w:rPr>
            </w:pPr>
            <w:r>
              <w:rPr>
                <w:rFonts w:asciiTheme="minorEastAsia" w:hAnsiTheme="minorEastAsia"/>
                <w:color w:val="000000"/>
                <w:sz w:val="24"/>
                <w:szCs w:val="24"/>
              </w:rPr>
              <w:t>★</w:t>
            </w:r>
            <w:r>
              <w:rPr>
                <w:rFonts w:hint="eastAsia" w:cs="Segoe UI Symbol" w:asciiTheme="minorEastAsia" w:hAnsiTheme="minorEastAsia"/>
                <w:bCs/>
                <w:sz w:val="24"/>
                <w:szCs w:val="24"/>
              </w:rPr>
              <w:t>体系结构</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方案一（扩容）：基于我院现有的存储网关增加异地远程容灾配件与容灾软件许可，存储网关需与洪泉数据中心的存储网关实现双活负载均衡。</w:t>
            </w:r>
          </w:p>
        </w:tc>
      </w:tr>
      <w:tr>
        <w:tblPrEx>
          <w:tblLayout w:type="fixed"/>
          <w:tblCellMar>
            <w:top w:w="55" w:type="dxa"/>
            <w:left w:w="55" w:type="dxa"/>
            <w:bottom w:w="55" w:type="dxa"/>
            <w:right w:w="55" w:type="dxa"/>
          </w:tblCellMar>
        </w:tblPrEx>
        <w:trPr>
          <w:trHeight w:val="28" w:hRule="atLeast"/>
        </w:trPr>
        <w:tc>
          <w:tcPr>
            <w:tcW w:w="672" w:type="dxa"/>
            <w:vMerge w:val="continue"/>
            <w:tcBorders>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p>
        </w:tc>
        <w:tc>
          <w:tcPr>
            <w:tcW w:w="1414" w:type="dxa"/>
            <w:vMerge w:val="continue"/>
            <w:tcBorders>
              <w:left w:val="single" w:color="000000" w:sz="2" w:space="0"/>
              <w:bottom w:val="single" w:color="000000" w:sz="2" w:space="0"/>
              <w:right w:val="nil"/>
            </w:tcBorders>
            <w:vAlign w:val="center"/>
          </w:tcPr>
          <w:p>
            <w:pPr>
              <w:jc w:val="left"/>
              <w:rPr>
                <w:rFonts w:cs="Segoe UI Symbol" w:asciiTheme="minorEastAsia" w:hAnsiTheme="minorEastAsia"/>
                <w:bCs/>
                <w:sz w:val="24"/>
                <w:szCs w:val="24"/>
              </w:rPr>
            </w:pP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方案二（新购）：如采用其他替代方案，必须使用独立的专用硬件设备，用于替代我院（苏北）信息中心的存储网关设备，配置不低于现有的存储网关设备（4个控制器）；此次新增加的设备必须为独立的专用硬件设备，且满足本条目的所有技术规格要求。若采用其他替代方案必须有所投产品原厂商提供包括但不限于技术白皮书，技术设计方案，实施方案，数据迁移方案，案例等，由原厂商提供包括数据迁移服务在内的所有必要服务，并由所投产品的原厂商保证数据100%的可靠性，以上均需要由原厂商提供书面资料并盖原厂商的公章证明。</w:t>
            </w:r>
          </w:p>
        </w:tc>
      </w:tr>
      <w:tr>
        <w:tblPrEx>
          <w:tblLayout w:type="fixed"/>
          <w:tblCellMar>
            <w:top w:w="55" w:type="dxa"/>
            <w:left w:w="55" w:type="dxa"/>
            <w:bottom w:w="55" w:type="dxa"/>
            <w:right w:w="55" w:type="dxa"/>
          </w:tblCellMar>
        </w:tblPrEx>
        <w:trPr>
          <w:trHeight w:val="28" w:hRule="atLeast"/>
        </w:trPr>
        <w:tc>
          <w:tcPr>
            <w:tcW w:w="672" w:type="dxa"/>
            <w:tcBorders>
              <w:top w:val="single" w:color="000000" w:sz="2" w:space="0"/>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2</w:t>
            </w:r>
          </w:p>
        </w:tc>
        <w:tc>
          <w:tcPr>
            <w:tcW w:w="1414" w:type="dxa"/>
            <w:tcBorders>
              <w:top w:val="single" w:color="000000" w:sz="2" w:space="0"/>
              <w:left w:val="single" w:color="000000" w:sz="2" w:space="0"/>
              <w:bottom w:val="single" w:color="000000" w:sz="2" w:space="0"/>
              <w:right w:val="nil"/>
            </w:tcBorders>
            <w:vAlign w:val="center"/>
          </w:tcPr>
          <w:p>
            <w:pPr>
              <w:jc w:val="left"/>
              <w:rPr>
                <w:rFonts w:cs="Segoe UI Symbol" w:asciiTheme="minorEastAsia" w:hAnsiTheme="minorEastAsia"/>
                <w:bCs/>
                <w:sz w:val="24"/>
                <w:szCs w:val="24"/>
              </w:rPr>
            </w:pPr>
            <w:r>
              <w:rPr>
                <w:rFonts w:hint="eastAsia" w:asciiTheme="minorEastAsia" w:hAnsiTheme="minorEastAsia"/>
                <w:color w:val="000000"/>
                <w:sz w:val="24"/>
                <w:szCs w:val="24"/>
              </w:rPr>
              <w:t>容灾要求</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olor w:val="000000"/>
                <w:sz w:val="24"/>
                <w:szCs w:val="24"/>
              </w:rPr>
            </w:pPr>
            <w:r>
              <w:rPr>
                <w:rFonts w:hint="eastAsia" w:asciiTheme="minorEastAsia" w:hAnsiTheme="minorEastAsia"/>
                <w:color w:val="000000"/>
                <w:sz w:val="24"/>
                <w:szCs w:val="24"/>
              </w:rPr>
              <w:t>提供N+1集群方式，支持本地机房及远程机房的跨数据中心双活功能，实现跨机房的存储虚拟化功能。</w:t>
            </w:r>
          </w:p>
          <w:p>
            <w:pPr>
              <w:rPr>
                <w:rFonts w:asciiTheme="minorEastAsia" w:hAnsiTheme="minorEastAsia" w:cstheme="minorHAnsi"/>
                <w:sz w:val="24"/>
                <w:szCs w:val="24"/>
              </w:rPr>
            </w:pPr>
            <w:r>
              <w:rPr>
                <w:rFonts w:hint="eastAsia" w:asciiTheme="minorEastAsia" w:hAnsiTheme="minorEastAsia"/>
                <w:color w:val="000000"/>
                <w:sz w:val="24"/>
                <w:szCs w:val="24"/>
              </w:rPr>
              <w:t>可做到RPO=0，RTO接近于0。</w:t>
            </w:r>
          </w:p>
        </w:tc>
      </w:tr>
      <w:tr>
        <w:tblPrEx>
          <w:tblLayout w:type="fixed"/>
          <w:tblCellMar>
            <w:top w:w="55" w:type="dxa"/>
            <w:left w:w="55" w:type="dxa"/>
            <w:bottom w:w="55" w:type="dxa"/>
            <w:right w:w="55" w:type="dxa"/>
          </w:tblCellMar>
        </w:tblPrEx>
        <w:trPr>
          <w:trHeight w:val="28" w:hRule="atLeast"/>
        </w:trPr>
        <w:tc>
          <w:tcPr>
            <w:tcW w:w="672" w:type="dxa"/>
            <w:vMerge w:val="restart"/>
            <w:tcBorders>
              <w:top w:val="single" w:color="000000" w:sz="2" w:space="0"/>
              <w:left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3</w:t>
            </w:r>
          </w:p>
        </w:tc>
        <w:tc>
          <w:tcPr>
            <w:tcW w:w="1414" w:type="dxa"/>
            <w:vMerge w:val="restart"/>
            <w:tcBorders>
              <w:top w:val="single" w:color="000000" w:sz="2" w:space="0"/>
              <w:left w:val="single" w:color="000000" w:sz="2" w:space="0"/>
              <w:right w:val="nil"/>
            </w:tcBorders>
            <w:vAlign w:val="center"/>
          </w:tcPr>
          <w:p>
            <w:pPr>
              <w:jc w:val="left"/>
              <w:rPr>
                <w:rFonts w:asciiTheme="minorEastAsia" w:hAnsiTheme="minorEastAsia"/>
                <w:color w:val="000000"/>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控制器要求</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方案一（升级）：</w:t>
            </w:r>
          </w:p>
          <w:p>
            <w:pPr>
              <w:rPr>
                <w:rFonts w:asciiTheme="minorEastAsia" w:hAnsiTheme="minorEastAsia"/>
                <w:color w:val="000000"/>
                <w:sz w:val="24"/>
                <w:szCs w:val="24"/>
              </w:rPr>
            </w:pPr>
            <w:r>
              <w:rPr>
                <w:rFonts w:hint="eastAsia" w:asciiTheme="minorEastAsia" w:hAnsiTheme="minorEastAsia" w:cstheme="minorHAnsi"/>
                <w:sz w:val="24"/>
                <w:szCs w:val="24"/>
              </w:rPr>
              <w:t>配置远程复制专用FC端口</w:t>
            </w:r>
            <w:r>
              <w:rPr>
                <w:rFonts w:hint="eastAsia" w:asciiTheme="minorEastAsia" w:hAnsiTheme="minorEastAsia"/>
                <w:color w:val="000000"/>
                <w:sz w:val="24"/>
                <w:szCs w:val="24"/>
              </w:rPr>
              <w:t>≥2个，速率≥8Gb/s。</w:t>
            </w:r>
          </w:p>
        </w:tc>
      </w:tr>
      <w:tr>
        <w:tblPrEx>
          <w:tblLayout w:type="fixed"/>
          <w:tblCellMar>
            <w:top w:w="55" w:type="dxa"/>
            <w:left w:w="55" w:type="dxa"/>
            <w:bottom w:w="55" w:type="dxa"/>
            <w:right w:w="55" w:type="dxa"/>
          </w:tblCellMar>
        </w:tblPrEx>
        <w:trPr>
          <w:trHeight w:val="28" w:hRule="atLeast"/>
        </w:trPr>
        <w:tc>
          <w:tcPr>
            <w:tcW w:w="672" w:type="dxa"/>
            <w:vMerge w:val="continue"/>
            <w:tcBorders>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p>
        </w:tc>
        <w:tc>
          <w:tcPr>
            <w:tcW w:w="1414" w:type="dxa"/>
            <w:vMerge w:val="continue"/>
            <w:tcBorders>
              <w:left w:val="single" w:color="000000" w:sz="2" w:space="0"/>
              <w:bottom w:val="single" w:color="000000" w:sz="2" w:space="0"/>
              <w:right w:val="nil"/>
            </w:tcBorders>
            <w:vAlign w:val="center"/>
          </w:tcPr>
          <w:p>
            <w:pPr>
              <w:jc w:val="left"/>
              <w:rPr>
                <w:rFonts w:asciiTheme="minorEastAsia" w:hAnsiTheme="minorEastAsia"/>
                <w:color w:val="000000"/>
                <w:sz w:val="24"/>
                <w:szCs w:val="24"/>
              </w:rPr>
            </w:pP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stheme="minorHAnsi"/>
                <w:color w:val="000000" w:themeColor="text1"/>
                <w:sz w:val="24"/>
                <w:szCs w:val="24"/>
              </w:rPr>
            </w:pPr>
            <w:r>
              <w:rPr>
                <w:rFonts w:hint="eastAsia" w:asciiTheme="minorEastAsia" w:hAnsiTheme="minorEastAsia" w:cstheme="minorHAnsi"/>
                <w:color w:val="000000" w:themeColor="text1"/>
                <w:sz w:val="24"/>
                <w:szCs w:val="24"/>
              </w:rPr>
              <w:t>方案二（新购）：</w:t>
            </w:r>
          </w:p>
          <w:p>
            <w:pPr>
              <w:rPr>
                <w:rFonts w:asciiTheme="minorEastAsia" w:hAnsiTheme="minorEastAsia"/>
                <w:color w:val="000000" w:themeColor="text1"/>
                <w:sz w:val="24"/>
                <w:szCs w:val="24"/>
              </w:rPr>
            </w:pPr>
            <w:r>
              <w:rPr>
                <w:rFonts w:hint="eastAsia" w:asciiTheme="minorEastAsia" w:hAnsiTheme="minorEastAsia" w:cstheme="minorHAnsi"/>
                <w:color w:val="000000" w:themeColor="text1"/>
                <w:sz w:val="24"/>
                <w:szCs w:val="24"/>
              </w:rPr>
              <w:t>控制器</w:t>
            </w:r>
            <w:r>
              <w:rPr>
                <w:rFonts w:hint="eastAsia" w:asciiTheme="minorEastAsia" w:hAnsiTheme="minorEastAsia"/>
                <w:color w:val="000000" w:themeColor="text1"/>
                <w:sz w:val="24"/>
                <w:szCs w:val="24"/>
              </w:rPr>
              <w:t>≥4个控制器</w:t>
            </w:r>
            <w:r>
              <w:rPr>
                <w:rFonts w:hint="eastAsia" w:asciiTheme="minorEastAsia" w:hAnsiTheme="minorEastAsia"/>
                <w:color w:val="000000"/>
                <w:sz w:val="24"/>
                <w:szCs w:val="24"/>
              </w:rPr>
              <w:t>，未来可横向扩展至6个以上</w:t>
            </w:r>
            <w:r>
              <w:rPr>
                <w:rFonts w:hint="eastAsia" w:asciiTheme="minorEastAsia" w:hAnsiTheme="minorEastAsia"/>
                <w:color w:val="000000" w:themeColor="text1"/>
                <w:sz w:val="24"/>
                <w:szCs w:val="24"/>
              </w:rPr>
              <w:t>。核心处理器≥2.4GHz 芯片主频</w:t>
            </w:r>
          </w:p>
          <w:p>
            <w:pPr>
              <w:rPr>
                <w:rFonts w:asciiTheme="minorEastAsia" w:hAnsiTheme="minorEastAsia" w:cstheme="minorHAnsi"/>
                <w:sz w:val="24"/>
                <w:szCs w:val="24"/>
              </w:rPr>
            </w:pPr>
            <w:r>
              <w:rPr>
                <w:rFonts w:hint="eastAsia" w:asciiTheme="minorEastAsia" w:hAnsiTheme="minorEastAsia"/>
                <w:color w:val="000000" w:themeColor="text1"/>
                <w:sz w:val="24"/>
                <w:szCs w:val="24"/>
              </w:rPr>
              <w:t>新配置端口数≥32个8Gb/s FC 接口；缓存≥144GB，在异常断电情况下，保证数据完全写到磁盘中，对缓存数据提供连续保护，保证数据的高可用性及一致性。</w:t>
            </w:r>
          </w:p>
        </w:tc>
      </w:tr>
      <w:tr>
        <w:tblPrEx>
          <w:tblLayout w:type="fixed"/>
          <w:tblCellMar>
            <w:top w:w="55" w:type="dxa"/>
            <w:left w:w="55" w:type="dxa"/>
            <w:bottom w:w="55" w:type="dxa"/>
            <w:right w:w="55" w:type="dxa"/>
          </w:tblCellMar>
        </w:tblPrEx>
        <w:trPr>
          <w:trHeight w:val="28" w:hRule="atLeast"/>
        </w:trPr>
        <w:tc>
          <w:tcPr>
            <w:tcW w:w="672" w:type="dxa"/>
            <w:tcBorders>
              <w:top w:val="single" w:color="000000" w:sz="2" w:space="0"/>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4</w:t>
            </w:r>
          </w:p>
        </w:tc>
        <w:tc>
          <w:tcPr>
            <w:tcW w:w="1414" w:type="dxa"/>
            <w:tcBorders>
              <w:top w:val="single" w:color="000000" w:sz="2" w:space="0"/>
              <w:left w:val="single" w:color="000000" w:sz="2" w:space="0"/>
              <w:bottom w:val="single" w:color="000000" w:sz="2" w:space="0"/>
              <w:right w:val="nil"/>
            </w:tcBorders>
            <w:vAlign w:val="center"/>
          </w:tcPr>
          <w:p>
            <w:pPr>
              <w:jc w:val="left"/>
              <w:rPr>
                <w:rFonts w:asciiTheme="minorEastAsia" w:hAnsiTheme="minorEastAsia"/>
                <w:color w:val="000000"/>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性能要求</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olor w:val="000000"/>
                <w:sz w:val="24"/>
                <w:szCs w:val="24"/>
              </w:rPr>
            </w:pPr>
            <w:r>
              <w:rPr>
                <w:rFonts w:hint="eastAsia" w:asciiTheme="minorEastAsia" w:hAnsiTheme="minorEastAsia"/>
                <w:color w:val="000000"/>
                <w:sz w:val="24"/>
                <w:szCs w:val="24"/>
              </w:rPr>
              <w:t>要求独立于主机和存储，虚拟化的功能不影响主机性能和存储设备的性能，不会消耗主机和存储的资源；性能具有扩展性，并且随着控制器数量的增加，要求性能也随着线性增长；</w:t>
            </w:r>
          </w:p>
        </w:tc>
      </w:tr>
      <w:tr>
        <w:tblPrEx>
          <w:tblLayout w:type="fixed"/>
          <w:tblCellMar>
            <w:top w:w="55" w:type="dxa"/>
            <w:left w:w="55" w:type="dxa"/>
            <w:bottom w:w="55" w:type="dxa"/>
            <w:right w:w="55" w:type="dxa"/>
          </w:tblCellMar>
        </w:tblPrEx>
        <w:trPr>
          <w:trHeight w:val="28" w:hRule="atLeast"/>
        </w:trPr>
        <w:tc>
          <w:tcPr>
            <w:tcW w:w="672" w:type="dxa"/>
            <w:tcBorders>
              <w:top w:val="single" w:color="000000" w:sz="2" w:space="0"/>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5</w:t>
            </w:r>
          </w:p>
        </w:tc>
        <w:tc>
          <w:tcPr>
            <w:tcW w:w="1414" w:type="dxa"/>
            <w:tcBorders>
              <w:top w:val="single" w:color="000000" w:sz="2" w:space="0"/>
              <w:left w:val="single" w:color="000000" w:sz="2" w:space="0"/>
              <w:bottom w:val="single" w:color="000000" w:sz="2" w:space="0"/>
              <w:right w:val="nil"/>
            </w:tcBorders>
            <w:vAlign w:val="center"/>
          </w:tcPr>
          <w:p>
            <w:pPr>
              <w:jc w:val="left"/>
              <w:rPr>
                <w:rFonts w:asciiTheme="minorEastAsia" w:hAnsiTheme="minorEastAsia"/>
                <w:color w:val="000000"/>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容量支持</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olor w:val="000000"/>
                <w:sz w:val="24"/>
                <w:szCs w:val="24"/>
              </w:rPr>
            </w:pPr>
            <w:r>
              <w:rPr>
                <w:rFonts w:hint="eastAsia" w:asciiTheme="minorEastAsia" w:hAnsiTheme="minorEastAsia"/>
                <w:color w:val="000000"/>
                <w:sz w:val="24"/>
                <w:szCs w:val="24"/>
              </w:rPr>
              <w:t>需满足我院所有存储设备的接入许可，本次苏北医院新购的数据存储设备的200T容量许可，以及需远程容灾至洪泉医院的50TB容量许可</w:t>
            </w:r>
          </w:p>
        </w:tc>
      </w:tr>
      <w:tr>
        <w:tblPrEx>
          <w:tblLayout w:type="fixed"/>
          <w:tblCellMar>
            <w:top w:w="55" w:type="dxa"/>
            <w:left w:w="55" w:type="dxa"/>
            <w:bottom w:w="55" w:type="dxa"/>
            <w:right w:w="55" w:type="dxa"/>
          </w:tblCellMar>
        </w:tblPrEx>
        <w:trPr>
          <w:trHeight w:val="28" w:hRule="atLeast"/>
        </w:trPr>
        <w:tc>
          <w:tcPr>
            <w:tcW w:w="672" w:type="dxa"/>
            <w:tcBorders>
              <w:top w:val="single" w:color="000000" w:sz="2" w:space="0"/>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6</w:t>
            </w:r>
          </w:p>
        </w:tc>
        <w:tc>
          <w:tcPr>
            <w:tcW w:w="1414" w:type="dxa"/>
            <w:tcBorders>
              <w:top w:val="single" w:color="000000" w:sz="2" w:space="0"/>
              <w:left w:val="single" w:color="000000" w:sz="2" w:space="0"/>
              <w:bottom w:val="single" w:color="000000" w:sz="2" w:space="0"/>
              <w:right w:val="nil"/>
            </w:tcBorders>
            <w:vAlign w:val="center"/>
          </w:tcPr>
          <w:p>
            <w:pPr>
              <w:jc w:val="left"/>
              <w:rPr>
                <w:rFonts w:asciiTheme="minorEastAsia" w:hAnsiTheme="minorEastAsia"/>
                <w:color w:val="000000"/>
                <w:sz w:val="24"/>
                <w:szCs w:val="24"/>
              </w:rPr>
            </w:pPr>
            <w:r>
              <w:rPr>
                <w:rFonts w:hint="eastAsia" w:asciiTheme="minorEastAsia" w:hAnsiTheme="minorEastAsia"/>
                <w:color w:val="000000"/>
                <w:sz w:val="24"/>
                <w:szCs w:val="24"/>
              </w:rPr>
              <w:t>异构支持</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olor w:val="000000"/>
                <w:sz w:val="24"/>
                <w:szCs w:val="24"/>
              </w:rPr>
            </w:pPr>
            <w:r>
              <w:rPr>
                <w:rFonts w:hint="eastAsia" w:asciiTheme="minorEastAsia" w:hAnsiTheme="minorEastAsia"/>
                <w:color w:val="000000"/>
                <w:sz w:val="24"/>
                <w:szCs w:val="24"/>
              </w:rPr>
              <w:t>可以通过硬件的方式将EMC，Netapp，IBM，H3C，新华三（HP）等阵列容灾管理，可以在此容灾设备上实现EMC，Netapp，IBM，H3C，新华三（HP）等阵列的卷镜像保护。</w:t>
            </w:r>
          </w:p>
        </w:tc>
      </w:tr>
      <w:tr>
        <w:tblPrEx>
          <w:tblLayout w:type="fixed"/>
          <w:tblCellMar>
            <w:top w:w="55" w:type="dxa"/>
            <w:left w:w="55" w:type="dxa"/>
            <w:bottom w:w="55" w:type="dxa"/>
            <w:right w:w="55" w:type="dxa"/>
          </w:tblCellMar>
        </w:tblPrEx>
        <w:trPr>
          <w:trHeight w:val="28" w:hRule="atLeast"/>
        </w:trPr>
        <w:tc>
          <w:tcPr>
            <w:tcW w:w="672" w:type="dxa"/>
            <w:tcBorders>
              <w:top w:val="single" w:color="000000" w:sz="2" w:space="0"/>
              <w:left w:val="single" w:color="000000" w:sz="2" w:space="0"/>
              <w:bottom w:val="single" w:color="000000" w:sz="2" w:space="0"/>
              <w:right w:val="nil"/>
            </w:tcBorders>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7</w:t>
            </w:r>
          </w:p>
        </w:tc>
        <w:tc>
          <w:tcPr>
            <w:tcW w:w="1414" w:type="dxa"/>
            <w:tcBorders>
              <w:top w:val="single" w:color="000000" w:sz="2" w:space="0"/>
              <w:left w:val="single" w:color="000000" w:sz="2" w:space="0"/>
              <w:bottom w:val="single" w:color="000000" w:sz="2" w:space="0"/>
              <w:right w:val="nil"/>
            </w:tcBorders>
            <w:vAlign w:val="center"/>
          </w:tcPr>
          <w:p>
            <w:pPr>
              <w:rPr>
                <w:rFonts w:asciiTheme="minorEastAsia" w:hAnsiTheme="minorEastAsia" w:cstheme="minorHAnsi"/>
                <w:bCs/>
                <w:sz w:val="24"/>
                <w:szCs w:val="24"/>
              </w:rPr>
            </w:pPr>
            <w:r>
              <w:rPr>
                <w:rFonts w:asciiTheme="minorEastAsia" w:hAnsiTheme="minorEastAsia"/>
                <w:color w:val="000000"/>
                <w:sz w:val="24"/>
                <w:szCs w:val="24"/>
              </w:rPr>
              <w:t>★</w:t>
            </w:r>
            <w:r>
              <w:rPr>
                <w:rFonts w:asciiTheme="minorEastAsia" w:hAnsiTheme="minorEastAsia" w:cstheme="minorHAnsi"/>
                <w:bCs/>
                <w:sz w:val="24"/>
                <w:szCs w:val="24"/>
              </w:rPr>
              <w:t>服务</w:t>
            </w:r>
            <w:r>
              <w:rPr>
                <w:rFonts w:hint="eastAsia" w:asciiTheme="minorEastAsia" w:hAnsiTheme="minorEastAsia" w:cstheme="minorHAnsi"/>
                <w:bCs/>
                <w:sz w:val="24"/>
                <w:szCs w:val="24"/>
              </w:rPr>
              <w:t>与授权</w:t>
            </w:r>
          </w:p>
        </w:tc>
        <w:tc>
          <w:tcPr>
            <w:tcW w:w="6666" w:type="dxa"/>
            <w:tcBorders>
              <w:top w:val="single" w:color="000000" w:sz="2" w:space="0"/>
              <w:left w:val="single" w:color="000000" w:sz="2" w:space="0"/>
              <w:bottom w:val="single" w:color="000000" w:sz="2" w:space="0"/>
              <w:right w:val="single" w:color="auto" w:sz="4" w:space="0"/>
            </w:tcBorders>
            <w:vAlign w:val="center"/>
          </w:tcPr>
          <w:p>
            <w:pPr>
              <w:rPr>
                <w:rFonts w:asciiTheme="minorEastAsia" w:hAnsiTheme="minorEastAsia" w:cstheme="minorHAnsi"/>
                <w:sz w:val="24"/>
                <w:szCs w:val="24"/>
              </w:rPr>
            </w:pPr>
            <w:r>
              <w:rPr>
                <w:rFonts w:hint="eastAsia" w:cs="宋体" w:asciiTheme="minorEastAsia" w:hAnsiTheme="minorEastAsia"/>
                <w:color w:val="000000" w:themeColor="text1"/>
                <w:kern w:val="0"/>
                <w:sz w:val="24"/>
                <w:szCs w:val="24"/>
              </w:rPr>
              <w:t>报价时</w:t>
            </w:r>
            <w:r>
              <w:rPr>
                <w:rFonts w:asciiTheme="minorEastAsia" w:hAnsiTheme="minorEastAsia" w:cstheme="minorHAnsi"/>
                <w:sz w:val="24"/>
                <w:szCs w:val="24"/>
              </w:rPr>
              <w:t>提供原厂针对本项目的</w:t>
            </w:r>
            <w:r>
              <w:rPr>
                <w:rFonts w:hint="eastAsia" w:asciiTheme="minorEastAsia" w:hAnsiTheme="minorEastAsia"/>
                <w:sz w:val="24"/>
                <w:szCs w:val="24"/>
              </w:rPr>
              <w:t>授权函和服务承诺函</w:t>
            </w:r>
            <w:r>
              <w:rPr>
                <w:rFonts w:asciiTheme="minorEastAsia" w:hAnsiTheme="minorEastAsia" w:cstheme="minorHAnsi"/>
                <w:sz w:val="24"/>
                <w:szCs w:val="24"/>
              </w:rPr>
              <w:t>。提供原厂7×24小时,4小时响应服务</w:t>
            </w:r>
            <w:r>
              <w:rPr>
                <w:rFonts w:hint="eastAsia" w:asciiTheme="minorEastAsia" w:hAnsiTheme="minorEastAsia" w:cstheme="minorHAnsi"/>
                <w:sz w:val="24"/>
                <w:szCs w:val="24"/>
              </w:rPr>
              <w:t>,质保周期方案一随原厂标准，方案二不少于3年原厂售后服务</w:t>
            </w:r>
            <w:r>
              <w:rPr>
                <w:rFonts w:asciiTheme="minorEastAsia" w:hAnsiTheme="minorEastAsia" w:cstheme="minorHAnsi"/>
                <w:sz w:val="24"/>
                <w:szCs w:val="24"/>
              </w:rPr>
              <w:t>。</w:t>
            </w:r>
          </w:p>
        </w:tc>
      </w:tr>
    </w:tbl>
    <w:p/>
    <w:p>
      <w:pPr>
        <w:pStyle w:val="3"/>
        <w:rPr>
          <w:rFonts w:asciiTheme="minorEastAsia" w:hAnsiTheme="minorEastAsia"/>
          <w:sz w:val="28"/>
          <w:szCs w:val="28"/>
        </w:rPr>
      </w:pPr>
      <w:r>
        <w:rPr>
          <w:rFonts w:hint="eastAsia" w:asciiTheme="minorEastAsia" w:hAnsiTheme="minorEastAsia"/>
          <w:sz w:val="28"/>
          <w:szCs w:val="28"/>
        </w:rPr>
        <w:t>4.3核心、光纤交换机级联</w:t>
      </w:r>
    </w:p>
    <w:tbl>
      <w:tblPr>
        <w:tblStyle w:val="10"/>
        <w:tblW w:w="8682"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06"/>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blHeader/>
          <w:jc w:val="center"/>
        </w:trPr>
        <w:tc>
          <w:tcPr>
            <w:tcW w:w="755"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406"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2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基本要求</w:t>
            </w:r>
          </w:p>
        </w:tc>
        <w:tc>
          <w:tcPr>
            <w:tcW w:w="6521"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针对我院现有的两台CISCO N9508核心交换机和两台MDS9148光纤交换机各增加1个30KM以上的远距离单模模块以及相对应的软件许可</w:t>
            </w:r>
          </w:p>
        </w:tc>
      </w:tr>
    </w:tbl>
    <w:p/>
    <w:p>
      <w:pPr>
        <w:pStyle w:val="3"/>
        <w:rPr>
          <w:rFonts w:asciiTheme="minorEastAsia" w:hAnsiTheme="minorEastAsia"/>
          <w:sz w:val="28"/>
          <w:szCs w:val="28"/>
        </w:rPr>
      </w:pPr>
      <w:r>
        <w:rPr>
          <w:rFonts w:hint="eastAsia" w:asciiTheme="minorEastAsia" w:hAnsiTheme="minorEastAsia"/>
          <w:sz w:val="28"/>
          <w:szCs w:val="28"/>
        </w:rPr>
        <w:t>4.4 容灾实施服务</w:t>
      </w:r>
    </w:p>
    <w:tbl>
      <w:tblPr>
        <w:tblStyle w:val="10"/>
        <w:tblW w:w="8755"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276"/>
        <w:gridCol w:w="6662"/>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817" w:type="dxa"/>
            <w:vAlign w:val="center"/>
          </w:tcPr>
          <w:p>
            <w:pPr>
              <w:pStyle w:val="22"/>
              <w:jc w:val="center"/>
              <w:rPr>
                <w:rFonts w:ascii="宋体" w:hAnsi="宋体"/>
                <w:color w:val="000000"/>
                <w:sz w:val="24"/>
                <w:szCs w:val="24"/>
              </w:rPr>
            </w:pPr>
            <w:r>
              <w:rPr>
                <w:rFonts w:hint="eastAsia" w:ascii="宋体" w:hAnsi="宋体"/>
                <w:color w:val="000000"/>
                <w:sz w:val="24"/>
                <w:szCs w:val="24"/>
              </w:rPr>
              <w:t>序号</w:t>
            </w:r>
          </w:p>
        </w:tc>
        <w:tc>
          <w:tcPr>
            <w:tcW w:w="1276" w:type="dxa"/>
            <w:vAlign w:val="center"/>
          </w:tcPr>
          <w:p>
            <w:pPr>
              <w:pStyle w:val="22"/>
              <w:jc w:val="center"/>
              <w:rPr>
                <w:rFonts w:ascii="宋体" w:hAnsi="宋体"/>
                <w:color w:val="000000"/>
                <w:sz w:val="24"/>
                <w:szCs w:val="24"/>
              </w:rPr>
            </w:pPr>
            <w:r>
              <w:rPr>
                <w:rFonts w:ascii="宋体" w:hAnsi="宋体"/>
                <w:color w:val="000000"/>
                <w:sz w:val="24"/>
                <w:szCs w:val="24"/>
              </w:rPr>
              <w:t>技术指标</w:t>
            </w:r>
          </w:p>
        </w:tc>
        <w:tc>
          <w:tcPr>
            <w:tcW w:w="6662" w:type="dxa"/>
            <w:vAlign w:val="center"/>
          </w:tcPr>
          <w:p>
            <w:pPr>
              <w:pStyle w:val="22"/>
              <w:jc w:val="center"/>
              <w:rPr>
                <w:rFonts w:ascii="宋体" w:hAnsi="宋体"/>
                <w:color w:val="000000"/>
                <w:sz w:val="24"/>
                <w:szCs w:val="24"/>
              </w:rPr>
            </w:pPr>
            <w:r>
              <w:rPr>
                <w:rFonts w:ascii="宋体" w:hAnsi="宋体"/>
                <w:color w:val="000000"/>
                <w:sz w:val="24"/>
                <w:szCs w:val="24"/>
              </w:rPr>
              <w:t>参数要求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vAlign w:val="center"/>
          </w:tcPr>
          <w:p>
            <w:pPr>
              <w:snapToGrid w:val="0"/>
              <w:spacing w:beforeLines="20" w:afterLines="20"/>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76" w:type="dxa"/>
            <w:vAlign w:val="center"/>
          </w:tcPr>
          <w:p>
            <w:pPr>
              <w:snapToGrid w:val="0"/>
              <w:spacing w:beforeLines="20" w:afterLines="20"/>
              <w:jc w:val="center"/>
              <w:rPr>
                <w:rFonts w:ascii="宋体" w:hAnsi="宋体"/>
                <w:sz w:val="24"/>
                <w:szCs w:val="24"/>
              </w:rPr>
            </w:pPr>
            <w:r>
              <w:rPr>
                <w:rFonts w:hint="eastAsia" w:ascii="宋体" w:hAnsi="宋体" w:cs="宋体"/>
                <w:color w:val="000000"/>
                <w:kern w:val="0"/>
                <w:sz w:val="24"/>
                <w:szCs w:val="24"/>
              </w:rPr>
              <w:t>★</w:t>
            </w:r>
            <w:r>
              <w:rPr>
                <w:rFonts w:hint="eastAsia" w:ascii="宋体" w:hAnsi="宋体"/>
                <w:sz w:val="24"/>
                <w:szCs w:val="24"/>
              </w:rPr>
              <w:t>容灾实施要求</w:t>
            </w:r>
          </w:p>
        </w:tc>
        <w:tc>
          <w:tcPr>
            <w:tcW w:w="6662" w:type="dxa"/>
            <w:vAlign w:val="center"/>
          </w:tcPr>
          <w:p>
            <w:pPr>
              <w:spacing w:beforeLines="20" w:afterLines="20"/>
              <w:rPr>
                <w:rFonts w:ascii="宋体" w:hAnsi="宋体" w:cs="宋体"/>
                <w:color w:val="000000"/>
                <w:sz w:val="24"/>
                <w:szCs w:val="24"/>
              </w:rPr>
            </w:pPr>
            <w:r>
              <w:rPr>
                <w:rFonts w:hint="eastAsia" w:ascii="宋体" w:hAnsi="宋体" w:cs="宋体"/>
                <w:color w:val="000000"/>
                <w:sz w:val="24"/>
                <w:szCs w:val="24"/>
              </w:rPr>
              <w:t>1）完成现有洪泉医院HIS数据库的回迁工作，业务停机时间小于15分钟；同时配置洪泉到苏北之间的容灾策略;</w:t>
            </w:r>
          </w:p>
          <w:p>
            <w:pPr>
              <w:spacing w:beforeLines="20" w:afterLines="20"/>
              <w:rPr>
                <w:rFonts w:ascii="宋体" w:hAnsi="宋体" w:cs="宋体"/>
                <w:color w:val="000000"/>
                <w:sz w:val="24"/>
                <w:szCs w:val="24"/>
              </w:rPr>
            </w:pPr>
            <w:r>
              <w:rPr>
                <w:rFonts w:hint="eastAsia" w:ascii="宋体" w:hAnsi="宋体" w:cs="宋体"/>
                <w:color w:val="000000"/>
                <w:sz w:val="24"/>
                <w:szCs w:val="24"/>
              </w:rPr>
              <w:t>2)完成现有苏北医院HIS数据库的调整,配置苏北到洪泉之间的容灾策略;</w:t>
            </w:r>
          </w:p>
          <w:p>
            <w:pPr>
              <w:spacing w:beforeLines="20" w:afterLines="20"/>
              <w:rPr>
                <w:rFonts w:ascii="宋体" w:hAnsi="宋体"/>
                <w:color w:val="000000"/>
                <w:sz w:val="24"/>
                <w:szCs w:val="24"/>
              </w:rPr>
            </w:pPr>
            <w:r>
              <w:rPr>
                <w:rFonts w:hint="eastAsia" w:ascii="宋体" w:hAnsi="宋体" w:cs="宋体"/>
                <w:color w:val="000000"/>
                <w:sz w:val="24"/>
                <w:szCs w:val="24"/>
              </w:rPr>
              <w:t>3)</w:t>
            </w:r>
            <w:r>
              <w:rPr>
                <w:rFonts w:hint="eastAsia" w:ascii="宋体" w:hAnsi="宋体"/>
                <w:color w:val="000000"/>
                <w:sz w:val="24"/>
                <w:szCs w:val="24"/>
              </w:rPr>
              <w:t>确保“容灾系统”的可用性，在苏北医院和洪泉医院之间构建应用级灾备系统，并确保其长期稳定运行，提出两中心负载的最佳运行调度策略；</w:t>
            </w:r>
          </w:p>
          <w:p>
            <w:pPr>
              <w:spacing w:beforeLines="20" w:afterLines="20"/>
              <w:rPr>
                <w:rFonts w:ascii="宋体" w:hAnsi="宋体" w:cs="宋体"/>
                <w:color w:val="000000"/>
                <w:sz w:val="24"/>
                <w:szCs w:val="24"/>
              </w:rPr>
            </w:pPr>
            <w:r>
              <w:rPr>
                <w:rFonts w:hint="eastAsia" w:ascii="宋体" w:hAnsi="宋体" w:cs="宋体"/>
                <w:color w:val="000000"/>
                <w:sz w:val="24"/>
                <w:szCs w:val="24"/>
              </w:rPr>
              <w:t>4)对现有客户端、应用配置、访问策略进行调整，确保灾备系统切换后，可快速（5分钟内）恢复应用；</w:t>
            </w:r>
          </w:p>
          <w:p>
            <w:pPr>
              <w:spacing w:beforeLines="20" w:afterLines="20"/>
              <w:rPr>
                <w:rFonts w:ascii="宋体" w:hAnsi="宋体"/>
                <w:color w:val="000000"/>
                <w:sz w:val="24"/>
                <w:szCs w:val="24"/>
              </w:rPr>
            </w:pPr>
            <w:r>
              <w:rPr>
                <w:rFonts w:hint="eastAsia" w:ascii="宋体" w:hAnsi="宋体" w:cs="宋体"/>
                <w:color w:val="000000"/>
                <w:sz w:val="24"/>
                <w:szCs w:val="24"/>
              </w:rPr>
              <w:t>5)</w:t>
            </w:r>
            <w:r>
              <w:rPr>
                <w:rFonts w:hint="eastAsia" w:ascii="宋体" w:hAnsi="宋体"/>
                <w:color w:val="000000"/>
                <w:sz w:val="24"/>
                <w:szCs w:val="24"/>
              </w:rPr>
              <w:t>承担灾备关键系统外联单位端（包含医保、新农合等）网络系统的调整实施，确保网络切换满足上述技术要求；</w:t>
            </w:r>
          </w:p>
          <w:p>
            <w:pPr>
              <w:spacing w:beforeLines="20" w:afterLines="20"/>
              <w:rPr>
                <w:rFonts w:ascii="宋体" w:hAnsi="宋体"/>
                <w:color w:val="000000"/>
                <w:sz w:val="24"/>
                <w:szCs w:val="24"/>
              </w:rPr>
            </w:pPr>
            <w:r>
              <w:rPr>
                <w:rFonts w:hint="eastAsia" w:ascii="宋体" w:hAnsi="宋体" w:cs="宋体"/>
                <w:color w:val="000000"/>
                <w:sz w:val="24"/>
                <w:szCs w:val="24"/>
              </w:rPr>
              <w:t>6)</w:t>
            </w:r>
            <w:r>
              <w:rPr>
                <w:rFonts w:hint="eastAsia" w:ascii="宋体" w:hAnsi="宋体"/>
                <w:color w:val="000000"/>
                <w:sz w:val="24"/>
                <w:szCs w:val="24"/>
              </w:rPr>
              <w:t>提交完善可行，切合用户方实际的高可用性容灾备份管理方案，协助用户方信息中心建成完备的灾备管理组织架构，确保整个高可用性灾备中心建设符合等保三级的要求；</w:t>
            </w:r>
          </w:p>
          <w:p>
            <w:pPr>
              <w:spacing w:beforeLines="20" w:afterLines="20"/>
              <w:rPr>
                <w:rFonts w:ascii="宋体" w:hAnsi="宋体"/>
                <w:color w:val="000000"/>
                <w:sz w:val="24"/>
                <w:szCs w:val="24"/>
              </w:rPr>
            </w:pPr>
            <w:r>
              <w:rPr>
                <w:rFonts w:hint="eastAsia" w:ascii="宋体" w:hAnsi="宋体" w:cs="宋体"/>
                <w:color w:val="000000"/>
                <w:sz w:val="24"/>
                <w:szCs w:val="24"/>
              </w:rPr>
              <w:t>7)</w:t>
            </w:r>
            <w:r>
              <w:rPr>
                <w:rFonts w:hint="eastAsia" w:ascii="宋体" w:hAnsi="宋体"/>
                <w:color w:val="000000"/>
                <w:sz w:val="24"/>
                <w:szCs w:val="24"/>
              </w:rPr>
              <w:t>承担应用级容灾备份演练实施任务，灾备中心上线前应至少完成两次演练，交付上线后在免费服务期内应至少每年实施一次演练，并确保不影响生产中心正常对外提供服务，演练应包含完整的、考虑各种因素的切换和回切过程。</w:t>
            </w:r>
          </w:p>
        </w:tc>
      </w:tr>
    </w:tbl>
    <w:p>
      <w:pPr>
        <w:pStyle w:val="3"/>
        <w:rPr>
          <w:rFonts w:asciiTheme="minorEastAsia" w:hAnsiTheme="minorEastAsia"/>
          <w:sz w:val="28"/>
          <w:szCs w:val="28"/>
        </w:rPr>
      </w:pPr>
      <w:r>
        <w:rPr>
          <w:rFonts w:hint="eastAsia" w:asciiTheme="minorEastAsia" w:hAnsiTheme="minorEastAsia"/>
          <w:sz w:val="28"/>
          <w:szCs w:val="28"/>
        </w:rPr>
        <w:t>第二标段：苏北医院存储设备采购及扩容参数要求</w:t>
      </w:r>
    </w:p>
    <w:p>
      <w:pPr>
        <w:pStyle w:val="3"/>
        <w:rPr>
          <w:rFonts w:asciiTheme="minorEastAsia" w:hAnsiTheme="minorEastAsia"/>
          <w:sz w:val="28"/>
          <w:szCs w:val="28"/>
        </w:rPr>
      </w:pPr>
      <w:r>
        <w:rPr>
          <w:rFonts w:hint="eastAsia"/>
          <w:sz w:val="28"/>
          <w:szCs w:val="28"/>
        </w:rPr>
        <w:t>4.5</w:t>
      </w:r>
      <w:r>
        <w:rPr>
          <w:rFonts w:hint="eastAsia" w:asciiTheme="minorEastAsia" w:hAnsiTheme="minorEastAsia"/>
          <w:sz w:val="28"/>
          <w:szCs w:val="28"/>
        </w:rPr>
        <w:t>苏北医院数据存储设备(数量:2台)</w:t>
      </w:r>
    </w:p>
    <w:tbl>
      <w:tblPr>
        <w:tblStyle w:val="10"/>
        <w:tblW w:w="8682"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06"/>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blHeader/>
          <w:jc w:val="center"/>
        </w:trPr>
        <w:tc>
          <w:tcPr>
            <w:tcW w:w="755"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406"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2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架构设计</w:t>
            </w:r>
          </w:p>
        </w:tc>
        <w:tc>
          <w:tcPr>
            <w:tcW w:w="6521"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报价产品型号必须为主流型号，</w:t>
            </w:r>
            <w:r>
              <w:rPr>
                <w:rFonts w:cs="Arial Unicode MS" w:asciiTheme="minorEastAsia" w:hAnsiTheme="minorEastAsia"/>
                <w:sz w:val="24"/>
                <w:szCs w:val="24"/>
              </w:rPr>
              <w:t>非OEM或贴牌产品，设备原厂商在中国设有研发中心或本土企业，商务处理流程及时，到货快捷。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2</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体系结构</w:t>
            </w:r>
          </w:p>
        </w:tc>
        <w:tc>
          <w:tcPr>
            <w:tcW w:w="6521" w:type="dxa"/>
            <w:vAlign w:val="center"/>
          </w:tcPr>
          <w:p>
            <w:pPr>
              <w:rPr>
                <w:rFonts w:cs="Arial" w:asciiTheme="minorEastAsia" w:hAnsiTheme="minorEastAsia"/>
                <w:sz w:val="24"/>
                <w:szCs w:val="24"/>
              </w:rPr>
            </w:pPr>
            <w:r>
              <w:rPr>
                <w:rFonts w:cs="宋体" w:asciiTheme="minorEastAsia" w:hAnsiTheme="minorEastAsia"/>
                <w:kern w:val="0"/>
                <w:sz w:val="24"/>
                <w:szCs w:val="24"/>
              </w:rPr>
              <w:t>全冗余模块化统一存储架构，</w:t>
            </w:r>
            <w:r>
              <w:rPr>
                <w:rFonts w:cs="Arial" w:asciiTheme="minorEastAsia" w:hAnsiTheme="minorEastAsia"/>
                <w:sz w:val="24"/>
                <w:szCs w:val="24"/>
              </w:rPr>
              <w:t>同时支持并提供NAS、IP SAN和FC SAN模式。</w:t>
            </w:r>
            <w:r>
              <w:rPr>
                <w:rFonts w:cs="宋体" w:asciiTheme="minorEastAsia" w:hAnsiTheme="minorEastAsia"/>
                <w:kern w:val="0"/>
                <w:sz w:val="24"/>
                <w:szCs w:val="24"/>
              </w:rPr>
              <w:t>统一存储池架构支持LUN、VVOLs及NAS 服务器，分别提供数据块和文件访问服务；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3</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控制器</w:t>
            </w:r>
          </w:p>
        </w:tc>
        <w:tc>
          <w:tcPr>
            <w:tcW w:w="6521" w:type="dxa"/>
            <w:vAlign w:val="center"/>
          </w:tcPr>
          <w:p>
            <w:pPr>
              <w:rPr>
                <w:rFonts w:cs="宋体" w:asciiTheme="minorEastAsia" w:hAnsiTheme="minorEastAsia"/>
                <w:bCs/>
                <w:color w:val="000000" w:themeColor="text1"/>
                <w:sz w:val="24"/>
                <w:szCs w:val="24"/>
              </w:rPr>
            </w:pPr>
            <w:r>
              <w:rPr>
                <w:rFonts w:cs="宋体" w:asciiTheme="minorEastAsia" w:hAnsiTheme="minorEastAsia"/>
                <w:bCs/>
                <w:sz w:val="24"/>
                <w:szCs w:val="24"/>
              </w:rPr>
              <w:t>控制器部件全冗余，</w:t>
            </w:r>
            <w:r>
              <w:rPr>
                <w:rFonts w:hint="eastAsia" w:cs="宋体" w:asciiTheme="minorEastAsia" w:hAnsiTheme="minorEastAsia"/>
                <w:bCs/>
                <w:sz w:val="24"/>
                <w:szCs w:val="24"/>
              </w:rPr>
              <w:t>配置</w:t>
            </w:r>
            <w:r>
              <w:rPr>
                <w:rFonts w:cs="宋体" w:asciiTheme="minorEastAsia" w:hAnsiTheme="minorEastAsia"/>
                <w:bCs/>
                <w:sz w:val="24"/>
                <w:szCs w:val="24"/>
              </w:rPr>
              <w:t>NAS</w:t>
            </w:r>
            <w:r>
              <w:rPr>
                <w:rFonts w:hint="eastAsia" w:cs="宋体" w:asciiTheme="minorEastAsia" w:hAnsiTheme="minorEastAsia"/>
                <w:bCs/>
                <w:sz w:val="24"/>
                <w:szCs w:val="24"/>
              </w:rPr>
              <w:t>和SAN</w:t>
            </w:r>
            <w:r>
              <w:rPr>
                <w:rFonts w:cs="宋体" w:asciiTheme="minorEastAsia" w:hAnsiTheme="minorEastAsia"/>
                <w:bCs/>
                <w:sz w:val="24"/>
                <w:szCs w:val="24"/>
              </w:rPr>
              <w:t>数据访问服务，多个控</w:t>
            </w:r>
            <w:r>
              <w:rPr>
                <w:rFonts w:cs="宋体" w:asciiTheme="minorEastAsia" w:hAnsiTheme="minorEastAsia"/>
                <w:bCs/>
                <w:color w:val="000000" w:themeColor="text1"/>
                <w:sz w:val="24"/>
                <w:szCs w:val="24"/>
              </w:rPr>
              <w:t>制器能同时访问同一个份数据单元（LUN）。</w:t>
            </w:r>
          </w:p>
          <w:p>
            <w:pPr>
              <w:rPr>
                <w:rFonts w:cs="宋体" w:asciiTheme="minorEastAsia" w:hAnsiTheme="minorEastAsia"/>
                <w:bCs/>
                <w:sz w:val="24"/>
                <w:szCs w:val="24"/>
              </w:rPr>
            </w:pPr>
            <w:r>
              <w:rPr>
                <w:rFonts w:cs="宋体" w:asciiTheme="minorEastAsia" w:hAnsiTheme="minorEastAsia"/>
                <w:bCs/>
                <w:color w:val="000000" w:themeColor="text1"/>
                <w:sz w:val="24"/>
                <w:szCs w:val="24"/>
              </w:rPr>
              <w:t>配置控制器数量≥2个；每控制器配置Intel Xeon</w:t>
            </w:r>
            <w:r>
              <w:rPr>
                <w:rFonts w:hint="eastAsia" w:cs="宋体" w:asciiTheme="minorEastAsia" w:hAnsiTheme="minorEastAsia"/>
                <w:bCs/>
                <w:color w:val="000000" w:themeColor="text1"/>
                <w:sz w:val="24"/>
                <w:szCs w:val="24"/>
              </w:rPr>
              <w:t>十核E5</w:t>
            </w:r>
            <w:r>
              <w:rPr>
                <w:rFonts w:cs="宋体" w:asciiTheme="minorEastAsia" w:hAnsiTheme="minorEastAsia"/>
                <w:bCs/>
                <w:color w:val="000000" w:themeColor="text1"/>
                <w:sz w:val="24"/>
                <w:szCs w:val="24"/>
              </w:rPr>
              <w:t>处理器，主频≥</w:t>
            </w:r>
            <w:r>
              <w:rPr>
                <w:rFonts w:hint="eastAsia" w:cs="宋体" w:asciiTheme="minorEastAsia" w:hAnsiTheme="minorEastAsia"/>
                <w:bCs/>
                <w:color w:val="000000" w:themeColor="text1"/>
                <w:sz w:val="24"/>
                <w:szCs w:val="24"/>
              </w:rPr>
              <w:t>2.6</w:t>
            </w:r>
            <w:r>
              <w:rPr>
                <w:rFonts w:cs="宋体" w:asciiTheme="minorEastAsia" w:hAnsiTheme="minorEastAsia"/>
                <w:bCs/>
                <w:color w:val="000000" w:themeColor="text1"/>
                <w:sz w:val="24"/>
                <w:szCs w:val="24"/>
              </w:rPr>
              <w:t>GHz；</w:t>
            </w:r>
            <w:r>
              <w:rPr>
                <w:rFonts w:hint="eastAsia" w:cs="宋体" w:asciiTheme="minorEastAsia" w:hAnsiTheme="minorEastAsia"/>
                <w:bCs/>
                <w:sz w:val="24"/>
                <w:szCs w:val="24"/>
              </w:rPr>
              <w:t>（SAN和NAS功能可以由不同的控制器完成,但是要求SAN和NAS控制器都是冗余的）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4</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缓存</w:t>
            </w:r>
          </w:p>
        </w:tc>
        <w:tc>
          <w:tcPr>
            <w:tcW w:w="6521" w:type="dxa"/>
            <w:vAlign w:val="center"/>
          </w:tcPr>
          <w:p>
            <w:pPr>
              <w:rPr>
                <w:rFonts w:cs="宋体" w:asciiTheme="minorEastAsia" w:hAnsiTheme="minorEastAsia"/>
                <w:bCs/>
                <w:sz w:val="24"/>
                <w:szCs w:val="24"/>
              </w:rPr>
            </w:pPr>
            <w:r>
              <w:rPr>
                <w:rFonts w:cs="宋体" w:asciiTheme="minorEastAsia" w:hAnsiTheme="minorEastAsia"/>
                <w:bCs/>
                <w:sz w:val="24"/>
                <w:szCs w:val="24"/>
              </w:rPr>
              <w:t>配置高速缓存≥</w:t>
            </w:r>
            <w:r>
              <w:rPr>
                <w:rFonts w:hint="eastAsia" w:cs="宋体" w:asciiTheme="minorEastAsia" w:hAnsiTheme="minorEastAsia"/>
                <w:bCs/>
                <w:sz w:val="24"/>
                <w:szCs w:val="24"/>
              </w:rPr>
              <w:t>128</w:t>
            </w:r>
            <w:r>
              <w:rPr>
                <w:rFonts w:cs="宋体" w:asciiTheme="minorEastAsia" w:hAnsiTheme="minorEastAsia"/>
                <w:bCs/>
                <w:sz w:val="24"/>
                <w:szCs w:val="24"/>
              </w:rPr>
              <w:t>GB</w:t>
            </w:r>
            <w:r>
              <w:rPr>
                <w:rFonts w:hint="eastAsia" w:cs="宋体" w:asciiTheme="minorEastAsia" w:hAnsiTheme="minorEastAsia"/>
                <w:bCs/>
                <w:sz w:val="24"/>
                <w:szCs w:val="24"/>
              </w:rPr>
              <w:t>（专用缓存，非闪存加速卡等）</w:t>
            </w:r>
            <w:r>
              <w:rPr>
                <w:rFonts w:hint="eastAsia" w:cs="Arial Unicode MS" w:asciiTheme="minorEastAsia" w:hAnsiTheme="minorEastAsia"/>
                <w:sz w:val="24"/>
                <w:szCs w:val="24"/>
              </w:rPr>
              <w:t>；且二级高速缓存可读可写；</w:t>
            </w:r>
            <w:r>
              <w:rPr>
                <w:rFonts w:cs="宋体" w:asciiTheme="minorEastAsia" w:hAnsiTheme="minorEastAsia"/>
                <w:bCs/>
                <w:sz w:val="24"/>
                <w:szCs w:val="24"/>
              </w:rPr>
              <w:t>支持写缓存镜像保护和掉电保护；掉电情况下，缓存数据需写到磁盘，保证写缓存数据永久不丢失。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5</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宋体" w:asciiTheme="minorEastAsia" w:hAnsiTheme="minorEastAsia"/>
                <w:kern w:val="0"/>
                <w:sz w:val="24"/>
                <w:szCs w:val="24"/>
              </w:rPr>
              <w:t>磁盘存储</w:t>
            </w:r>
          </w:p>
        </w:tc>
        <w:tc>
          <w:tcPr>
            <w:tcW w:w="6521" w:type="dxa"/>
            <w:vAlign w:val="center"/>
          </w:tcPr>
          <w:p>
            <w:pPr>
              <w:rPr>
                <w:rFonts w:cs="Arial Unicode MS" w:asciiTheme="minorEastAsia" w:hAnsiTheme="minorEastAsia"/>
                <w:sz w:val="24"/>
                <w:szCs w:val="24"/>
              </w:rPr>
            </w:pPr>
            <w:r>
              <w:rPr>
                <w:rFonts w:cs="Arial Unicode MS" w:asciiTheme="minorEastAsia" w:hAnsiTheme="minorEastAsia"/>
                <w:sz w:val="24"/>
                <w:szCs w:val="24"/>
              </w:rPr>
              <w:t>配置≥</w:t>
            </w:r>
            <w:r>
              <w:rPr>
                <w:rFonts w:hint="eastAsia" w:cs="Arial Unicode MS" w:asciiTheme="minorEastAsia" w:hAnsiTheme="minorEastAsia"/>
                <w:sz w:val="24"/>
                <w:szCs w:val="24"/>
              </w:rPr>
              <w:t>100</w:t>
            </w:r>
            <w:r>
              <w:rPr>
                <w:rFonts w:cs="Arial Unicode MS" w:asciiTheme="minorEastAsia" w:hAnsiTheme="minorEastAsia"/>
                <w:sz w:val="24"/>
                <w:szCs w:val="24"/>
              </w:rPr>
              <w:t>TB</w:t>
            </w:r>
            <w:r>
              <w:rPr>
                <w:rFonts w:hint="eastAsia" w:cs="Arial Unicode MS" w:asciiTheme="minorEastAsia" w:hAnsiTheme="minorEastAsia"/>
                <w:sz w:val="24"/>
                <w:szCs w:val="24"/>
              </w:rPr>
              <w:t>可用空间，配置6块1.6TBSSD盘或不小于6块等同容量的SSD；配置41块1.8TBSAS盘或不小于41块等同容量的SAS；配置</w:t>
            </w:r>
            <w:r>
              <w:rPr>
                <w:rFonts w:cs="Arial Unicode MS" w:asciiTheme="minorEastAsia" w:hAnsiTheme="minorEastAsia"/>
                <w:sz w:val="24"/>
                <w:szCs w:val="24"/>
              </w:rPr>
              <w:t>≥</w:t>
            </w:r>
            <w:r>
              <w:rPr>
                <w:rFonts w:hint="eastAsia" w:cs="Arial Unicode MS" w:asciiTheme="minorEastAsia" w:hAnsiTheme="minorEastAsia"/>
                <w:sz w:val="24"/>
                <w:szCs w:val="24"/>
              </w:rPr>
              <w:t>15块4TBNL-SAS盘或不小于15块等同容量的NL-SAS盘；所配置的硬盘支持</w:t>
            </w:r>
            <w:r>
              <w:rPr>
                <w:rFonts w:cs="Arial Unicode MS" w:asciiTheme="minorEastAsia" w:hAnsiTheme="minorEastAsia"/>
                <w:sz w:val="24"/>
                <w:szCs w:val="24"/>
              </w:rPr>
              <w:t>热插拔；支持磁盘数量可扩展至≥</w:t>
            </w:r>
            <w:r>
              <w:rPr>
                <w:rFonts w:hint="eastAsia" w:cs="Arial Unicode MS" w:asciiTheme="minorEastAsia" w:hAnsiTheme="minorEastAsia"/>
                <w:sz w:val="24"/>
                <w:szCs w:val="24"/>
              </w:rPr>
              <w:t>50</w:t>
            </w:r>
            <w:r>
              <w:rPr>
                <w:rFonts w:cs="Arial Unicode MS" w:asciiTheme="minorEastAsia" w:hAnsiTheme="minorEastAsia"/>
                <w:sz w:val="24"/>
                <w:szCs w:val="24"/>
              </w:rPr>
              <w:t>0块，支持多种RAID保护方式。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6</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前端端口</w:t>
            </w:r>
          </w:p>
        </w:tc>
        <w:tc>
          <w:tcPr>
            <w:tcW w:w="6521" w:type="dxa"/>
            <w:vAlign w:val="center"/>
          </w:tcPr>
          <w:p>
            <w:pPr>
              <w:rPr>
                <w:rFonts w:cs="Arial Unicode MS" w:asciiTheme="minorEastAsia" w:hAnsiTheme="minorEastAsia"/>
                <w:sz w:val="24"/>
                <w:szCs w:val="24"/>
              </w:rPr>
            </w:pPr>
            <w:r>
              <w:rPr>
                <w:rFonts w:cs="Arial Unicode MS" w:asciiTheme="minorEastAsia" w:hAnsiTheme="minorEastAsia"/>
                <w:sz w:val="24"/>
                <w:szCs w:val="24"/>
              </w:rPr>
              <w:t>本次配置4个16Gbps FC</w:t>
            </w:r>
            <w:r>
              <w:rPr>
                <w:rFonts w:hint="eastAsia" w:cs="Arial Unicode MS" w:asciiTheme="minorEastAsia" w:hAnsiTheme="minorEastAsia"/>
                <w:sz w:val="24"/>
                <w:szCs w:val="24"/>
              </w:rPr>
              <w:t>用于</w:t>
            </w:r>
            <w:r>
              <w:rPr>
                <w:rFonts w:cs="Arial Unicode MS" w:asciiTheme="minorEastAsia" w:hAnsiTheme="minorEastAsia"/>
                <w:sz w:val="24"/>
                <w:szCs w:val="24"/>
              </w:rPr>
              <w:t>SAN</w:t>
            </w:r>
            <w:r>
              <w:rPr>
                <w:rFonts w:hint="eastAsia" w:cs="Arial Unicode MS" w:asciiTheme="minorEastAsia" w:hAnsiTheme="minorEastAsia"/>
                <w:sz w:val="24"/>
                <w:szCs w:val="24"/>
              </w:rPr>
              <w:t>和4个10</w:t>
            </w:r>
            <w:r>
              <w:rPr>
                <w:rFonts w:cs="Arial Unicode MS" w:asciiTheme="minorEastAsia" w:hAnsiTheme="minorEastAsia"/>
                <w:sz w:val="24"/>
                <w:szCs w:val="24"/>
              </w:rPr>
              <w:t>Gbps</w:t>
            </w:r>
            <w:r>
              <w:rPr>
                <w:rFonts w:hint="eastAsia" w:cs="Arial Unicode MS" w:asciiTheme="minorEastAsia" w:hAnsiTheme="minorEastAsia"/>
                <w:sz w:val="24"/>
                <w:szCs w:val="24"/>
              </w:rPr>
              <w:t>以太口端口用于NAS或iSCSI</w:t>
            </w:r>
            <w:r>
              <w:rPr>
                <w:rFonts w:cs="Arial Unicode MS"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7</w:t>
            </w:r>
          </w:p>
        </w:tc>
        <w:tc>
          <w:tcPr>
            <w:tcW w:w="1406" w:type="dxa"/>
            <w:vAlign w:val="center"/>
          </w:tcPr>
          <w:p>
            <w:pPr>
              <w:rPr>
                <w:rFonts w:cs="宋体" w:asciiTheme="minorEastAsia" w:hAnsiTheme="minorEastAsia"/>
                <w:bCs/>
                <w:sz w:val="24"/>
                <w:szCs w:val="24"/>
              </w:rPr>
            </w:pPr>
            <w:r>
              <w:rPr>
                <w:rFonts w:hint="eastAsia" w:asciiTheme="minorEastAsia" w:hAnsiTheme="minorEastAsia"/>
                <w:sz w:val="24"/>
                <w:szCs w:val="24"/>
              </w:rPr>
              <w:t>★</w:t>
            </w:r>
            <w:r>
              <w:rPr>
                <w:rFonts w:hint="eastAsia" w:cs="宋体" w:asciiTheme="minorEastAsia" w:hAnsiTheme="minorEastAsia"/>
                <w:bCs/>
                <w:sz w:val="24"/>
                <w:szCs w:val="24"/>
              </w:rPr>
              <w:t>数据分层功能</w:t>
            </w:r>
          </w:p>
        </w:tc>
        <w:tc>
          <w:tcPr>
            <w:tcW w:w="6521" w:type="dxa"/>
          </w:tcPr>
          <w:p>
            <w:pPr>
              <w:rPr>
                <w:rFonts w:asciiTheme="minorEastAsia" w:hAnsiTheme="minorEastAsia"/>
                <w:sz w:val="24"/>
                <w:szCs w:val="24"/>
              </w:rPr>
            </w:pPr>
            <w:r>
              <w:rPr>
                <w:rFonts w:hint="eastAsia" w:asciiTheme="minorEastAsia" w:hAnsiTheme="minorEastAsia"/>
                <w:sz w:val="24"/>
                <w:szCs w:val="24"/>
              </w:rPr>
              <w:t>配置自动存储分层软件及许可。根据数据的活动状况，自动将活动数据调整到高速磁盘上，将非活动数据放置到大容量磁盘上；可设置迁移策略和指定数据的初始位置；迁移过程多主机透明，无需停机；迁移层数≥3层（SSD，SAS，NL_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8</w:t>
            </w:r>
          </w:p>
        </w:tc>
        <w:tc>
          <w:tcPr>
            <w:tcW w:w="1406" w:type="dxa"/>
            <w:vAlign w:val="center"/>
          </w:tcPr>
          <w:p>
            <w:pPr>
              <w:rPr>
                <w:rFonts w:cs="宋体" w:asciiTheme="minorEastAsia" w:hAnsiTheme="minorEastAsia"/>
                <w:bCs/>
                <w:sz w:val="24"/>
                <w:szCs w:val="24"/>
              </w:rPr>
            </w:pPr>
            <w:r>
              <w:rPr>
                <w:rFonts w:hint="eastAsia" w:asciiTheme="minorEastAsia" w:hAnsiTheme="minorEastAsia"/>
                <w:sz w:val="24"/>
                <w:szCs w:val="24"/>
              </w:rPr>
              <w:t>★</w:t>
            </w:r>
            <w:r>
              <w:rPr>
                <w:rFonts w:cs="宋体" w:asciiTheme="minorEastAsia" w:hAnsiTheme="minorEastAsia"/>
                <w:bCs/>
                <w:sz w:val="24"/>
                <w:szCs w:val="24"/>
              </w:rPr>
              <w:t>数据迁移功能</w:t>
            </w:r>
          </w:p>
        </w:tc>
        <w:tc>
          <w:tcPr>
            <w:tcW w:w="6521" w:type="dxa"/>
          </w:tcPr>
          <w:p>
            <w:pPr>
              <w:rPr>
                <w:rFonts w:cs="宋体" w:asciiTheme="minorEastAsia" w:hAnsiTheme="minorEastAsia"/>
                <w:bCs/>
                <w:sz w:val="24"/>
                <w:szCs w:val="24"/>
              </w:rPr>
            </w:pPr>
            <w:r>
              <w:rPr>
                <w:rFonts w:cs="宋体" w:asciiTheme="minorEastAsia" w:hAnsiTheme="minorEastAsia"/>
                <w:bCs/>
                <w:sz w:val="24"/>
                <w:szCs w:val="24"/>
              </w:rPr>
              <w:t>配置具有内部数据迁移功能的软件；基于存储系统本身的控制器实现数据在不同逻辑卷之间、不同RAID类型的卷之间数据迁移，且无需中断应用访问；提供迁移工具，将存储系统中的数据在不同厂商的磁盘阵列中进行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9</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灾难恢复功能</w:t>
            </w:r>
          </w:p>
        </w:tc>
        <w:tc>
          <w:tcPr>
            <w:tcW w:w="6521" w:type="dxa"/>
            <w:vAlign w:val="center"/>
          </w:tcPr>
          <w:p>
            <w:pPr>
              <w:rPr>
                <w:rFonts w:cs="Arial" w:asciiTheme="minorEastAsia" w:hAnsiTheme="minorEastAsia"/>
                <w:sz w:val="24"/>
                <w:szCs w:val="24"/>
              </w:rPr>
            </w:pPr>
            <w:r>
              <w:rPr>
                <w:rFonts w:cs="宋体" w:asciiTheme="minorEastAsia" w:hAnsiTheme="minorEastAsia"/>
                <w:bCs/>
                <w:sz w:val="24"/>
                <w:szCs w:val="24"/>
              </w:rPr>
              <w:t>配置本地快照及本地克隆技术；</w:t>
            </w:r>
            <w:r>
              <w:rPr>
                <w:rFonts w:hint="eastAsia" w:cs="Arial" w:asciiTheme="minorEastAsia" w:hAnsiTheme="minorEastAsia"/>
                <w:sz w:val="24"/>
                <w:szCs w:val="24"/>
              </w:rPr>
              <w:t>配置</w:t>
            </w:r>
            <w:r>
              <w:rPr>
                <w:rFonts w:cs="Arial" w:asciiTheme="minorEastAsia" w:hAnsiTheme="minorEastAsia"/>
                <w:sz w:val="24"/>
                <w:szCs w:val="24"/>
              </w:rPr>
              <w:t>基于数据块级远程复制功能，以实现基于存储设备的灾备数据复制及恢复。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10</w:t>
            </w:r>
          </w:p>
        </w:tc>
        <w:tc>
          <w:tcPr>
            <w:tcW w:w="1406" w:type="dxa"/>
            <w:vAlign w:val="center"/>
          </w:tcPr>
          <w:p>
            <w:pPr>
              <w:rPr>
                <w:rFonts w:cs="Arial" w:asciiTheme="minorEastAsia" w:hAnsiTheme="minorEastAsia"/>
                <w:sz w:val="24"/>
                <w:szCs w:val="24"/>
              </w:rPr>
            </w:pPr>
            <w:r>
              <w:rPr>
                <w:rFonts w:cs="Arial" w:asciiTheme="minorEastAsia" w:hAnsiTheme="minorEastAsia"/>
                <w:sz w:val="24"/>
                <w:szCs w:val="24"/>
              </w:rPr>
              <w:t>虚拟环境的集成</w:t>
            </w:r>
          </w:p>
        </w:tc>
        <w:tc>
          <w:tcPr>
            <w:tcW w:w="6521" w:type="dxa"/>
            <w:vAlign w:val="center"/>
          </w:tcPr>
          <w:p>
            <w:pPr>
              <w:rPr>
                <w:rFonts w:cs="Arial" w:asciiTheme="minorEastAsia" w:hAnsiTheme="minorEastAsia"/>
                <w:sz w:val="24"/>
                <w:szCs w:val="24"/>
              </w:rPr>
            </w:pPr>
            <w:r>
              <w:rPr>
                <w:rFonts w:cs="Arial" w:asciiTheme="minorEastAsia" w:hAnsiTheme="minorEastAsia"/>
                <w:sz w:val="24"/>
                <w:szCs w:val="24"/>
              </w:rPr>
              <w:t>支持VAAI，VASA功能，VAAI支持包括：硬件Zero Copy，硬件 Lock Reservation，硬件Accelerated Copy；</w:t>
            </w:r>
          </w:p>
          <w:p>
            <w:pPr>
              <w:rPr>
                <w:rFonts w:cs="Arial" w:asciiTheme="minorEastAsia" w:hAnsiTheme="minorEastAsia"/>
                <w:sz w:val="24"/>
                <w:szCs w:val="24"/>
              </w:rPr>
            </w:pPr>
            <w:r>
              <w:rPr>
                <w:rFonts w:hint="eastAsia" w:cs="宋体" w:asciiTheme="minorEastAsia" w:hAnsiTheme="minorEastAsia"/>
                <w:kern w:val="0"/>
                <w:sz w:val="24"/>
                <w:szCs w:val="24"/>
              </w:rPr>
              <w:t>报价</w:t>
            </w:r>
            <w:r>
              <w:rPr>
                <w:rFonts w:cs="宋体" w:asciiTheme="minorEastAsia" w:hAnsiTheme="minorEastAsia"/>
                <w:kern w:val="0"/>
                <w:sz w:val="24"/>
                <w:szCs w:val="24"/>
              </w:rPr>
              <w:t>时提供VMware，</w:t>
            </w:r>
            <w:r>
              <w:rPr>
                <w:rFonts w:cs="Arial" w:asciiTheme="minorEastAsia" w:hAnsiTheme="minorEastAsia"/>
                <w:sz w:val="24"/>
                <w:szCs w:val="24"/>
              </w:rPr>
              <w:t>支持SRM功能，能够提供Failover，Failback 功能；支持VVOLs；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11</w:t>
            </w:r>
          </w:p>
        </w:tc>
        <w:tc>
          <w:tcPr>
            <w:tcW w:w="1406" w:type="dxa"/>
            <w:vAlign w:val="center"/>
          </w:tcPr>
          <w:p>
            <w:pPr>
              <w:rPr>
                <w:rFonts w:cs="Arial" w:asciiTheme="minorEastAsia" w:hAnsiTheme="minorEastAsia"/>
                <w:sz w:val="24"/>
                <w:szCs w:val="24"/>
              </w:rPr>
            </w:pPr>
            <w:r>
              <w:rPr>
                <w:rFonts w:hint="eastAsia" w:ascii="宋体" w:hAnsi="宋体"/>
                <w:sz w:val="24"/>
                <w:szCs w:val="24"/>
              </w:rPr>
              <w:t>★</w:t>
            </w:r>
            <w:r>
              <w:rPr>
                <w:rFonts w:hint="eastAsia" w:cs="Arial" w:asciiTheme="minorEastAsia" w:hAnsiTheme="minorEastAsia"/>
                <w:sz w:val="24"/>
                <w:szCs w:val="24"/>
              </w:rPr>
              <w:t>配套设备</w:t>
            </w:r>
          </w:p>
        </w:tc>
        <w:tc>
          <w:tcPr>
            <w:tcW w:w="6521" w:type="dxa"/>
            <w:vAlign w:val="center"/>
          </w:tcPr>
          <w:p>
            <w:pPr>
              <w:widowControl/>
              <w:jc w:val="left"/>
              <w:rPr>
                <w:rFonts w:ascii="宋体" w:hAnsi="宋体"/>
                <w:sz w:val="24"/>
                <w:szCs w:val="24"/>
              </w:rPr>
            </w:pPr>
            <w:r>
              <w:rPr>
                <w:rFonts w:hint="eastAsia" w:ascii="宋体" w:hAnsi="宋体"/>
                <w:sz w:val="24"/>
                <w:szCs w:val="24"/>
              </w:rPr>
              <w:t>每个存储设备配置原厂专用机柜1个，标准40U，最多可配置不少于4个PDU。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12</w:t>
            </w:r>
          </w:p>
        </w:tc>
        <w:tc>
          <w:tcPr>
            <w:tcW w:w="1406" w:type="dxa"/>
            <w:vAlign w:val="center"/>
          </w:tcPr>
          <w:p>
            <w:pPr>
              <w:rPr>
                <w:rFonts w:cs="Arial" w:asciiTheme="minorEastAsia" w:hAnsiTheme="minorEastAsia"/>
                <w:sz w:val="24"/>
                <w:szCs w:val="24"/>
              </w:rPr>
            </w:pPr>
            <w:r>
              <w:rPr>
                <w:rFonts w:cs="Arial" w:asciiTheme="minorEastAsia" w:hAnsiTheme="minorEastAsia"/>
                <w:sz w:val="24"/>
                <w:szCs w:val="24"/>
              </w:rPr>
              <w:t>★服务与授权</w:t>
            </w:r>
          </w:p>
        </w:tc>
        <w:tc>
          <w:tcPr>
            <w:tcW w:w="6521" w:type="dxa"/>
            <w:vAlign w:val="center"/>
          </w:tcPr>
          <w:p>
            <w:pPr>
              <w:widowControl/>
              <w:jc w:val="left"/>
              <w:rPr>
                <w:rFonts w:cs="宋体" w:asciiTheme="minorEastAsia" w:hAnsiTheme="minorEastAsia"/>
                <w:kern w:val="0"/>
                <w:sz w:val="24"/>
                <w:szCs w:val="24"/>
              </w:rPr>
            </w:pPr>
            <w:r>
              <w:rPr>
                <w:rFonts w:hint="eastAsia" w:cs="Calibri" w:asciiTheme="minorEastAsia" w:hAnsiTheme="minorEastAsia"/>
                <w:sz w:val="24"/>
                <w:szCs w:val="24"/>
              </w:rPr>
              <w:t>报价时</w:t>
            </w:r>
            <w:r>
              <w:rPr>
                <w:rFonts w:cs="Calibri" w:asciiTheme="minorEastAsia" w:hAnsiTheme="minorEastAsia"/>
                <w:sz w:val="24"/>
                <w:szCs w:val="24"/>
              </w:rPr>
              <w:t>提供原厂针对本项目的</w:t>
            </w:r>
            <w:r>
              <w:rPr>
                <w:rFonts w:hint="eastAsia" w:asciiTheme="minorEastAsia" w:hAnsiTheme="minorEastAsia"/>
                <w:sz w:val="24"/>
                <w:szCs w:val="24"/>
              </w:rPr>
              <w:t>授权函和服务承诺函</w:t>
            </w:r>
            <w:r>
              <w:rPr>
                <w:rFonts w:cs="Calibri" w:asciiTheme="minorEastAsia" w:hAnsiTheme="minorEastAsia"/>
                <w:sz w:val="24"/>
                <w:szCs w:val="24"/>
              </w:rPr>
              <w:t>。提供原厂7×24小时,4小时响应服务</w:t>
            </w:r>
            <w:r>
              <w:rPr>
                <w:rFonts w:hint="eastAsia" w:cs="Calibri" w:asciiTheme="minorEastAsia" w:hAnsiTheme="minorEastAsia"/>
                <w:sz w:val="24"/>
                <w:szCs w:val="24"/>
              </w:rPr>
              <w:t>,不少于3年原厂售后服务</w:t>
            </w:r>
            <w:r>
              <w:rPr>
                <w:rFonts w:cs="Calibri" w:asciiTheme="minorEastAsia" w:hAnsiTheme="minorEastAsia"/>
                <w:sz w:val="24"/>
                <w:szCs w:val="24"/>
              </w:rPr>
              <w:t>。</w:t>
            </w:r>
          </w:p>
        </w:tc>
      </w:tr>
    </w:tbl>
    <w:p>
      <w:pPr>
        <w:pStyle w:val="3"/>
        <w:rPr>
          <w:sz w:val="28"/>
          <w:szCs w:val="28"/>
        </w:rPr>
      </w:pPr>
      <w:r>
        <w:rPr>
          <w:rFonts w:hint="eastAsia"/>
          <w:sz w:val="28"/>
          <w:szCs w:val="28"/>
        </w:rPr>
        <w:t>4.6苏北医院核心存储扩容</w:t>
      </w:r>
      <w:r>
        <w:rPr>
          <w:rFonts w:hint="eastAsia" w:asciiTheme="minorEastAsia" w:hAnsiTheme="minorEastAsia"/>
          <w:sz w:val="28"/>
          <w:szCs w:val="28"/>
        </w:rPr>
        <w:t>(数量:2台)</w:t>
      </w:r>
    </w:p>
    <w:tbl>
      <w:tblPr>
        <w:tblStyle w:val="10"/>
        <w:tblW w:w="8682"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06"/>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blHeader/>
          <w:jc w:val="center"/>
        </w:trPr>
        <w:tc>
          <w:tcPr>
            <w:tcW w:w="755"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406"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2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基本要求</w:t>
            </w:r>
          </w:p>
        </w:tc>
        <w:tc>
          <w:tcPr>
            <w:tcW w:w="6521"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针对我院现有的两台EMC UNITY 400F存储设备各增加15块1.6T 的SSD磁盘，以及相对应容量的存储许可和存储网关许可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2</w:t>
            </w:r>
          </w:p>
        </w:tc>
        <w:tc>
          <w:tcPr>
            <w:tcW w:w="1406" w:type="dxa"/>
            <w:vAlign w:val="center"/>
          </w:tcPr>
          <w:p>
            <w:pPr>
              <w:rPr>
                <w:rFonts w:asciiTheme="minorEastAsia" w:hAnsiTheme="minorEastAsia" w:cstheme="minorHAnsi"/>
                <w:bCs/>
                <w:sz w:val="24"/>
                <w:szCs w:val="24"/>
              </w:rPr>
            </w:pPr>
            <w:r>
              <w:rPr>
                <w:rFonts w:asciiTheme="minorEastAsia" w:hAnsiTheme="minorEastAsia"/>
                <w:color w:val="000000"/>
                <w:sz w:val="24"/>
                <w:szCs w:val="24"/>
              </w:rPr>
              <w:t>★</w:t>
            </w:r>
            <w:r>
              <w:rPr>
                <w:rFonts w:asciiTheme="minorEastAsia" w:hAnsiTheme="minorEastAsia" w:cstheme="minorHAnsi"/>
                <w:bCs/>
                <w:sz w:val="24"/>
                <w:szCs w:val="24"/>
              </w:rPr>
              <w:t>服务</w:t>
            </w:r>
            <w:r>
              <w:rPr>
                <w:rFonts w:hint="eastAsia" w:asciiTheme="minorEastAsia" w:hAnsiTheme="minorEastAsia" w:cstheme="minorHAnsi"/>
                <w:bCs/>
                <w:sz w:val="24"/>
                <w:szCs w:val="24"/>
              </w:rPr>
              <w:t>与授权</w:t>
            </w:r>
          </w:p>
        </w:tc>
        <w:tc>
          <w:tcPr>
            <w:tcW w:w="6521" w:type="dxa"/>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报价时</w:t>
            </w:r>
            <w:r>
              <w:rPr>
                <w:rFonts w:asciiTheme="minorEastAsia" w:hAnsiTheme="minorEastAsia" w:cstheme="minorHAnsi"/>
                <w:sz w:val="24"/>
                <w:szCs w:val="24"/>
              </w:rPr>
              <w:t>提供原厂针对本项目的</w:t>
            </w:r>
            <w:r>
              <w:rPr>
                <w:rFonts w:hint="eastAsia" w:asciiTheme="minorEastAsia" w:hAnsiTheme="minorEastAsia"/>
                <w:sz w:val="24"/>
                <w:szCs w:val="24"/>
              </w:rPr>
              <w:t>授权函和服务承诺函</w:t>
            </w:r>
            <w:r>
              <w:rPr>
                <w:rFonts w:asciiTheme="minorEastAsia" w:hAnsiTheme="minorEastAsia" w:cstheme="minorHAnsi"/>
                <w:sz w:val="24"/>
                <w:szCs w:val="24"/>
              </w:rPr>
              <w:t>。提供原厂7×24小时,4小时响应服务</w:t>
            </w:r>
            <w:r>
              <w:rPr>
                <w:rFonts w:hint="eastAsia" w:asciiTheme="minorEastAsia" w:hAnsiTheme="minorEastAsia" w:cstheme="minorHAnsi"/>
                <w:sz w:val="24"/>
                <w:szCs w:val="24"/>
              </w:rPr>
              <w:t>,质保周期随原厂标准。</w:t>
            </w:r>
          </w:p>
        </w:tc>
      </w:tr>
    </w:tbl>
    <w:p>
      <w:pPr>
        <w:rPr>
          <w:rFonts w:asciiTheme="majorHAnsi" w:hAnsiTheme="majorHAnsi" w:eastAsiaTheme="majorEastAsia" w:cstheme="majorBidi"/>
          <w:b/>
          <w:bCs/>
          <w:sz w:val="28"/>
          <w:szCs w:val="28"/>
        </w:rPr>
      </w:pPr>
    </w:p>
    <w:p>
      <w:pPr>
        <w:pStyle w:val="3"/>
        <w:rPr>
          <w:sz w:val="28"/>
          <w:szCs w:val="28"/>
        </w:rPr>
      </w:pPr>
      <w:r>
        <w:rPr>
          <w:rFonts w:hint="eastAsia"/>
          <w:sz w:val="28"/>
          <w:szCs w:val="28"/>
        </w:rPr>
        <w:t>4.7苏北医院影像远程归档软件（数量:1套）</w:t>
      </w:r>
    </w:p>
    <w:tbl>
      <w:tblPr>
        <w:tblStyle w:val="10"/>
        <w:tblW w:w="8682"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06"/>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blHeader/>
          <w:jc w:val="center"/>
        </w:trPr>
        <w:tc>
          <w:tcPr>
            <w:tcW w:w="755"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406"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2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基本要求</w:t>
            </w:r>
          </w:p>
        </w:tc>
        <w:tc>
          <w:tcPr>
            <w:tcW w:w="6521"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针对我院现有的一套EMC ISILON影像存储</w:t>
            </w:r>
            <w:r>
              <w:rPr>
                <w:rFonts w:hint="eastAsia" w:cs="Arial" w:asciiTheme="minorEastAsia" w:hAnsiTheme="minorEastAsia"/>
                <w:sz w:val="24"/>
                <w:szCs w:val="24"/>
              </w:rPr>
              <w:t>配置数据归档软件，用于归档苏北人民医院的PACS近线数据至洪泉医院，需配置无限容量授权。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2</w:t>
            </w:r>
          </w:p>
        </w:tc>
        <w:tc>
          <w:tcPr>
            <w:tcW w:w="1406" w:type="dxa"/>
            <w:vAlign w:val="center"/>
          </w:tcPr>
          <w:p>
            <w:pPr>
              <w:rPr>
                <w:rFonts w:asciiTheme="minorEastAsia" w:hAnsiTheme="minorEastAsia" w:cstheme="minorHAnsi"/>
                <w:bCs/>
                <w:sz w:val="24"/>
                <w:szCs w:val="24"/>
              </w:rPr>
            </w:pPr>
            <w:r>
              <w:rPr>
                <w:rFonts w:asciiTheme="minorEastAsia" w:hAnsiTheme="minorEastAsia"/>
                <w:color w:val="000000"/>
                <w:sz w:val="24"/>
                <w:szCs w:val="24"/>
              </w:rPr>
              <w:t>★</w:t>
            </w:r>
            <w:r>
              <w:rPr>
                <w:rFonts w:asciiTheme="minorEastAsia" w:hAnsiTheme="minorEastAsia" w:cstheme="minorHAnsi"/>
                <w:bCs/>
                <w:sz w:val="24"/>
                <w:szCs w:val="24"/>
              </w:rPr>
              <w:t>服务</w:t>
            </w:r>
            <w:r>
              <w:rPr>
                <w:rFonts w:hint="eastAsia" w:asciiTheme="minorEastAsia" w:hAnsiTheme="minorEastAsia" w:cstheme="minorHAnsi"/>
                <w:bCs/>
                <w:sz w:val="24"/>
                <w:szCs w:val="24"/>
              </w:rPr>
              <w:t>与授权</w:t>
            </w:r>
          </w:p>
        </w:tc>
        <w:tc>
          <w:tcPr>
            <w:tcW w:w="6521" w:type="dxa"/>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报价时</w:t>
            </w:r>
            <w:r>
              <w:rPr>
                <w:rFonts w:asciiTheme="minorEastAsia" w:hAnsiTheme="minorEastAsia" w:cstheme="minorHAnsi"/>
                <w:sz w:val="24"/>
                <w:szCs w:val="24"/>
              </w:rPr>
              <w:t>提供原厂针对本项目的</w:t>
            </w:r>
            <w:r>
              <w:rPr>
                <w:rFonts w:hint="eastAsia" w:asciiTheme="minorEastAsia" w:hAnsiTheme="minorEastAsia"/>
                <w:sz w:val="24"/>
                <w:szCs w:val="24"/>
              </w:rPr>
              <w:t>授权函和服务承诺函</w:t>
            </w:r>
            <w:r>
              <w:rPr>
                <w:rFonts w:asciiTheme="minorEastAsia" w:hAnsiTheme="minorEastAsia" w:cstheme="minorHAnsi"/>
                <w:sz w:val="24"/>
                <w:szCs w:val="24"/>
              </w:rPr>
              <w:t>。提供原厂7×24小时,4小时响应服务</w:t>
            </w:r>
            <w:r>
              <w:rPr>
                <w:rFonts w:hint="eastAsia" w:asciiTheme="minorEastAsia" w:hAnsiTheme="minorEastAsia" w:cstheme="minorHAnsi"/>
                <w:sz w:val="24"/>
                <w:szCs w:val="24"/>
              </w:rPr>
              <w:t>,质保周期随原厂标准。</w:t>
            </w:r>
          </w:p>
        </w:tc>
      </w:tr>
    </w:tbl>
    <w:p>
      <w:pPr>
        <w:rPr>
          <w:rFonts w:asciiTheme="majorHAnsi" w:hAnsiTheme="majorHAnsi" w:eastAsiaTheme="majorEastAsia" w:cstheme="majorBidi"/>
          <w:b/>
          <w:bCs/>
          <w:sz w:val="28"/>
          <w:szCs w:val="28"/>
        </w:rPr>
      </w:pPr>
    </w:p>
    <w:p>
      <w:pPr>
        <w:pStyle w:val="3"/>
        <w:rPr>
          <w:rFonts w:asciiTheme="minorEastAsia" w:hAnsiTheme="minorEastAsia"/>
          <w:b w:val="0"/>
          <w:bCs w:val="0"/>
          <w:sz w:val="28"/>
          <w:szCs w:val="28"/>
        </w:rPr>
      </w:pPr>
      <w:r>
        <w:rPr>
          <w:rFonts w:hint="eastAsia" w:asciiTheme="minorEastAsia" w:hAnsiTheme="minorEastAsia"/>
          <w:sz w:val="28"/>
          <w:szCs w:val="28"/>
        </w:rPr>
        <w:t>第三标段：洪泉医院HIS容灾软硬件采购参数要求</w:t>
      </w:r>
    </w:p>
    <w:p>
      <w:pPr>
        <w:pStyle w:val="3"/>
        <w:rPr>
          <w:rFonts w:asciiTheme="minorEastAsia" w:hAnsiTheme="minorEastAsia"/>
          <w:sz w:val="28"/>
          <w:szCs w:val="28"/>
        </w:rPr>
      </w:pPr>
      <w:r>
        <w:rPr>
          <w:rFonts w:hint="eastAsia" w:asciiTheme="minorEastAsia" w:hAnsiTheme="minorEastAsia"/>
          <w:sz w:val="28"/>
          <w:szCs w:val="28"/>
        </w:rPr>
        <w:t>4.8洪泉医院数据库容灾软件(数量:1套)</w:t>
      </w:r>
    </w:p>
    <w:tbl>
      <w:tblPr>
        <w:tblStyle w:val="10"/>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1"/>
        <w:gridCol w:w="1190"/>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7" w:hRule="atLeast"/>
        </w:trPr>
        <w:tc>
          <w:tcPr>
            <w:tcW w:w="761" w:type="dxa"/>
            <w:shd w:val="clear" w:color="auto" w:fill="D9D9D9"/>
            <w:tcMar>
              <w:top w:w="0" w:type="dxa"/>
              <w:left w:w="108" w:type="dxa"/>
              <w:bottom w:w="0" w:type="dxa"/>
              <w:right w:w="108" w:type="dxa"/>
            </w:tcMar>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序号</w:t>
            </w:r>
          </w:p>
        </w:tc>
        <w:tc>
          <w:tcPr>
            <w:tcW w:w="1190" w:type="dxa"/>
            <w:shd w:val="clear" w:color="auto" w:fill="D9D9D9"/>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技术指标</w:t>
            </w:r>
          </w:p>
        </w:tc>
        <w:tc>
          <w:tcPr>
            <w:tcW w:w="6804" w:type="dxa"/>
            <w:shd w:val="clear" w:color="auto" w:fill="D9D9D9"/>
            <w:tcMar>
              <w:top w:w="0" w:type="dxa"/>
              <w:left w:w="108" w:type="dxa"/>
              <w:bottom w:w="0" w:type="dxa"/>
              <w:right w:w="108" w:type="dxa"/>
            </w:tcMar>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5" w:hRule="atLeast"/>
        </w:trPr>
        <w:tc>
          <w:tcPr>
            <w:tcW w:w="761" w:type="dxa"/>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1</w:t>
            </w:r>
          </w:p>
        </w:tc>
        <w:tc>
          <w:tcPr>
            <w:tcW w:w="1190"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asciiTheme="minorEastAsia" w:hAnsiTheme="minorEastAsia"/>
                <w:color w:val="000000"/>
                <w:sz w:val="24"/>
                <w:szCs w:val="24"/>
              </w:rPr>
              <w:t>★</w:t>
            </w:r>
            <w:r>
              <w:rPr>
                <w:rFonts w:hint="eastAsia" w:cs="宋体" w:asciiTheme="minorEastAsia" w:hAnsiTheme="minorEastAsia"/>
                <w:color w:val="000000" w:themeColor="text1"/>
                <w:kern w:val="0"/>
                <w:sz w:val="24"/>
                <w:szCs w:val="24"/>
              </w:rPr>
              <w:t>操作系统支持</w:t>
            </w: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数据库复制软件需具备良好的平台支持性，能够支持主流的操作系统，如：UNIX、Linux、Windows等操作系统平台。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Align w:val="center"/>
          </w:tcPr>
          <w:p>
            <w:pPr>
              <w:widowControl/>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2</w:t>
            </w:r>
          </w:p>
        </w:tc>
        <w:tc>
          <w:tcPr>
            <w:tcW w:w="1190"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高可用支持</w:t>
            </w: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支持高可用集群软件、支持ORACLE RAC。请提供支持的高可用环境列表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restart"/>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3</w:t>
            </w:r>
          </w:p>
        </w:tc>
        <w:tc>
          <w:tcPr>
            <w:tcW w:w="1190" w:type="dxa"/>
            <w:vMerge w:val="restart"/>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asciiTheme="minorEastAsia" w:hAnsiTheme="minorEastAsia"/>
                <w:color w:val="000000"/>
                <w:sz w:val="24"/>
                <w:szCs w:val="24"/>
              </w:rPr>
              <w:t>★</w:t>
            </w:r>
            <w:r>
              <w:rPr>
                <w:rFonts w:hint="eastAsia" w:cs="宋体" w:asciiTheme="minorEastAsia" w:hAnsiTheme="minorEastAsia"/>
                <w:color w:val="000000" w:themeColor="text1"/>
                <w:kern w:val="0"/>
                <w:sz w:val="24"/>
                <w:szCs w:val="24"/>
              </w:rPr>
              <w:t>功能要求</w:t>
            </w: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复制软件对于主库的所有数据类型、所有操作，都能够复制到灾备端，以便最快的进行主备切换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190" w:type="dxa"/>
            <w:vMerge w:val="continue"/>
            <w:vAlign w:val="center"/>
          </w:tcPr>
          <w:p>
            <w:pPr>
              <w:widowControl/>
              <w:jc w:val="left"/>
              <w:rPr>
                <w:rFonts w:cs="宋体" w:asciiTheme="minorEastAsia" w:hAnsiTheme="minorEastAsia"/>
                <w:color w:val="000000" w:themeColor="text1"/>
                <w:kern w:val="0"/>
                <w:sz w:val="24"/>
                <w:szCs w:val="24"/>
              </w:rPr>
            </w:pP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复制软件应该基于日志捕捉的方式，而不是通过触发器等技术来实现，不会对生产库进行 数据扫描操作，造成主库过渡资源消耗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190" w:type="dxa"/>
            <w:vMerge w:val="continue"/>
            <w:vAlign w:val="center"/>
          </w:tcPr>
          <w:p>
            <w:pPr>
              <w:widowControl/>
              <w:jc w:val="left"/>
              <w:rPr>
                <w:rFonts w:cs="宋体" w:asciiTheme="minorEastAsia" w:hAnsiTheme="minorEastAsia"/>
                <w:color w:val="000000" w:themeColor="text1"/>
                <w:kern w:val="0"/>
                <w:sz w:val="24"/>
                <w:szCs w:val="24"/>
              </w:rPr>
            </w:pP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bCs/>
                <w:color w:val="000000" w:themeColor="text1"/>
                <w:kern w:val="0"/>
                <w:sz w:val="24"/>
                <w:szCs w:val="24"/>
              </w:rPr>
              <w:t>复制软件在灾备端需基于日志恢复的方式进行数据同步，避免转换成逻辑SQL语句的方式在灾备端提交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190" w:type="dxa"/>
            <w:vMerge w:val="continue"/>
            <w:vAlign w:val="center"/>
          </w:tcPr>
          <w:p>
            <w:pPr>
              <w:widowControl/>
              <w:jc w:val="left"/>
              <w:rPr>
                <w:rFonts w:cs="宋体" w:asciiTheme="minorEastAsia" w:hAnsiTheme="minorEastAsia"/>
                <w:color w:val="000000" w:themeColor="text1"/>
                <w:kern w:val="0"/>
                <w:sz w:val="24"/>
                <w:szCs w:val="24"/>
              </w:rPr>
            </w:pP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复制软件需要确保主备端数据的一致性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190" w:type="dxa"/>
            <w:vMerge w:val="continue"/>
            <w:vAlign w:val="center"/>
          </w:tcPr>
          <w:p>
            <w:pPr>
              <w:widowControl/>
              <w:jc w:val="left"/>
              <w:rPr>
                <w:rFonts w:cs="宋体" w:asciiTheme="minorEastAsia" w:hAnsiTheme="minorEastAsia"/>
                <w:color w:val="000000" w:themeColor="text1"/>
                <w:kern w:val="0"/>
                <w:sz w:val="24"/>
                <w:szCs w:val="24"/>
              </w:rPr>
            </w:pP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bCs/>
                <w:color w:val="000000" w:themeColor="text1"/>
                <w:kern w:val="0"/>
                <w:sz w:val="24"/>
                <w:szCs w:val="24"/>
              </w:rPr>
              <w:t>主备端能够自动检测数据损坏(坏块)，同时能够利用对端的完整数据（好块）进行自我修复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190" w:type="dxa"/>
            <w:vMerge w:val="continue"/>
            <w:vAlign w:val="center"/>
          </w:tcPr>
          <w:p>
            <w:pPr>
              <w:widowControl/>
              <w:jc w:val="left"/>
              <w:rPr>
                <w:rFonts w:cs="宋体" w:asciiTheme="minorEastAsia" w:hAnsiTheme="minorEastAsia"/>
                <w:color w:val="000000" w:themeColor="text1"/>
                <w:kern w:val="0"/>
                <w:sz w:val="24"/>
                <w:szCs w:val="24"/>
              </w:rPr>
            </w:pP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bCs/>
                <w:color w:val="000000" w:themeColor="text1"/>
                <w:kern w:val="0"/>
                <w:sz w:val="24"/>
                <w:szCs w:val="24"/>
              </w:rPr>
              <w:t>复制软件支持在目标端采用多线程或者并行方式进行数据恢复。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5" w:hRule="atLeast"/>
        </w:trPr>
        <w:tc>
          <w:tcPr>
            <w:tcW w:w="761" w:type="dxa"/>
            <w:vMerge w:val="continue"/>
            <w:vAlign w:val="center"/>
          </w:tcPr>
          <w:p>
            <w:pPr>
              <w:widowControl/>
              <w:jc w:val="center"/>
              <w:rPr>
                <w:rFonts w:cs="宋体" w:asciiTheme="minorEastAsia" w:hAnsiTheme="minorEastAsia"/>
                <w:color w:val="000000" w:themeColor="text1"/>
                <w:kern w:val="0"/>
                <w:sz w:val="24"/>
                <w:szCs w:val="24"/>
              </w:rPr>
            </w:pPr>
          </w:p>
        </w:tc>
        <w:tc>
          <w:tcPr>
            <w:tcW w:w="1190" w:type="dxa"/>
            <w:vMerge w:val="continue"/>
            <w:vAlign w:val="center"/>
          </w:tcPr>
          <w:p>
            <w:pPr>
              <w:widowControl/>
              <w:jc w:val="left"/>
              <w:rPr>
                <w:rFonts w:cs="宋体" w:asciiTheme="minorEastAsia" w:hAnsiTheme="minorEastAsia"/>
                <w:color w:val="000000" w:themeColor="text1"/>
                <w:kern w:val="0"/>
                <w:sz w:val="24"/>
                <w:szCs w:val="24"/>
              </w:rPr>
            </w:pPr>
          </w:p>
        </w:tc>
        <w:tc>
          <w:tcPr>
            <w:tcW w:w="6804" w:type="dxa"/>
            <w:shd w:val="clear" w:color="auto" w:fill="FFFFFF"/>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复制软件应支持一对一，一对多，以及级联的数据复制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5" w:hRule="atLeast"/>
        </w:trPr>
        <w:tc>
          <w:tcPr>
            <w:tcW w:w="761" w:type="dxa"/>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4</w:t>
            </w:r>
          </w:p>
        </w:tc>
        <w:tc>
          <w:tcPr>
            <w:tcW w:w="1190"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监控管理</w:t>
            </w:r>
          </w:p>
        </w:tc>
        <w:tc>
          <w:tcPr>
            <w:tcW w:w="6804" w:type="dxa"/>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提供统一的管理监控平台，对于整个的复制配置环境(包括复制软件、源库、目标库等)都能够统一在该平台下进行统一的管理、监控、配置：</w:t>
            </w:r>
          </w:p>
          <w:p>
            <w:pPr>
              <w:widowControl/>
              <w:spacing w:line="312" w:lineRule="atLeast"/>
              <w:ind w:left="360" w:hanging="360"/>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1）对复制软件的运行状态、运行日志、系统配置等方面进行统一的管理及监控，保证出现错误时具有完整的报警及跟踪机制，方便故障的快速定位；</w:t>
            </w:r>
          </w:p>
          <w:p>
            <w:pPr>
              <w:widowControl/>
              <w:spacing w:line="312" w:lineRule="atLeast"/>
              <w:ind w:left="360" w:hanging="360"/>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2）对生产库、目标库的运行状态等进行统一的监控和管理。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65" w:hRule="atLeast"/>
        </w:trPr>
        <w:tc>
          <w:tcPr>
            <w:tcW w:w="761" w:type="dxa"/>
            <w:tcMar>
              <w:top w:w="0" w:type="dxa"/>
              <w:left w:w="108" w:type="dxa"/>
              <w:bottom w:w="0" w:type="dxa"/>
              <w:right w:w="108" w:type="dxa"/>
            </w:tcMar>
            <w:vAlign w:val="center"/>
          </w:tcPr>
          <w:p>
            <w:pPr>
              <w:widowControl/>
              <w:spacing w:line="312" w:lineRule="atLeast"/>
              <w:jc w:val="center"/>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5</w:t>
            </w:r>
          </w:p>
        </w:tc>
        <w:tc>
          <w:tcPr>
            <w:tcW w:w="1190" w:type="dxa"/>
            <w:tcMar>
              <w:top w:w="0" w:type="dxa"/>
              <w:left w:w="108" w:type="dxa"/>
              <w:bottom w:w="0" w:type="dxa"/>
              <w:right w:w="108" w:type="dxa"/>
            </w:tcMar>
            <w:vAlign w:val="center"/>
          </w:tcPr>
          <w:p>
            <w:pPr>
              <w:widowControl/>
              <w:spacing w:line="312" w:lineRule="atLeast"/>
              <w:rPr>
                <w:rFonts w:cs="宋体" w:asciiTheme="minorEastAsia" w:hAnsiTheme="minorEastAsia"/>
                <w:color w:val="000000" w:themeColor="text1"/>
                <w:kern w:val="0"/>
                <w:sz w:val="24"/>
                <w:szCs w:val="24"/>
              </w:rPr>
            </w:pPr>
            <w:r>
              <w:rPr>
                <w:rFonts w:asciiTheme="minorEastAsia" w:hAnsiTheme="minorEastAsia"/>
                <w:color w:val="000000"/>
                <w:sz w:val="24"/>
                <w:szCs w:val="24"/>
              </w:rPr>
              <w:t>★</w:t>
            </w:r>
            <w:r>
              <w:rPr>
                <w:rFonts w:hint="eastAsia" w:cs="宋体" w:asciiTheme="minorEastAsia" w:hAnsiTheme="minorEastAsia"/>
                <w:color w:val="000000" w:themeColor="text1"/>
                <w:kern w:val="0"/>
                <w:sz w:val="24"/>
                <w:szCs w:val="24"/>
              </w:rPr>
              <w:t>服务与授权</w:t>
            </w:r>
          </w:p>
        </w:tc>
        <w:tc>
          <w:tcPr>
            <w:tcW w:w="6804" w:type="dxa"/>
            <w:tcMar>
              <w:top w:w="0" w:type="dxa"/>
              <w:left w:w="108" w:type="dxa"/>
              <w:bottom w:w="0" w:type="dxa"/>
              <w:right w:w="108" w:type="dxa"/>
            </w:tcMar>
          </w:tcPr>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需实现洪泉医院本地容灾以及与苏北医院的异地容灾，本次项目需配置原厂正版许可。</w:t>
            </w:r>
          </w:p>
          <w:p>
            <w:pPr>
              <w:widowControl/>
              <w:spacing w:line="312" w:lineRule="atLeast"/>
              <w:rPr>
                <w:rFonts w:cs="宋体" w:asciiTheme="minorEastAsia" w:hAnsiTheme="minorEastAsia"/>
                <w:color w:val="000000" w:themeColor="text1"/>
                <w:kern w:val="0"/>
                <w:sz w:val="24"/>
                <w:szCs w:val="24"/>
              </w:rPr>
            </w:pPr>
            <w:r>
              <w:rPr>
                <w:rFonts w:hint="eastAsia" w:cs="宋体" w:asciiTheme="minorEastAsia" w:hAnsiTheme="minorEastAsia"/>
                <w:color w:val="000000" w:themeColor="text1"/>
                <w:kern w:val="0"/>
                <w:sz w:val="24"/>
                <w:szCs w:val="24"/>
              </w:rPr>
              <w:t>报价时需提供原厂授权和原厂服务承诺函，如因产品许可带来的任何影响 ，均由供应商承担相关责任。</w:t>
            </w:r>
          </w:p>
        </w:tc>
      </w:tr>
    </w:tbl>
    <w:p/>
    <w:p>
      <w:pPr>
        <w:pStyle w:val="3"/>
      </w:pPr>
      <w:r>
        <w:rPr>
          <w:rFonts w:hint="eastAsia"/>
          <w:sz w:val="28"/>
          <w:szCs w:val="28"/>
        </w:rPr>
        <w:t>4.9</w:t>
      </w:r>
      <w:r>
        <w:rPr>
          <w:rFonts w:hint="eastAsia" w:asciiTheme="minorEastAsia" w:hAnsiTheme="minorEastAsia"/>
          <w:sz w:val="28"/>
          <w:szCs w:val="28"/>
        </w:rPr>
        <w:t>洪泉医院存储双活设备（数量：1套）</w:t>
      </w:r>
    </w:p>
    <w:tbl>
      <w:tblPr>
        <w:tblStyle w:val="10"/>
        <w:tblW w:w="8752" w:type="dxa"/>
        <w:tblInd w:w="-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
      <w:tblGrid>
        <w:gridCol w:w="672"/>
        <w:gridCol w:w="1414"/>
        <w:gridCol w:w="6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c>
          <w:tcPr>
            <w:tcW w:w="672" w:type="dxa"/>
            <w:shd w:val="clear" w:color="auto" w:fill="EEECE1"/>
            <w:vAlign w:val="center"/>
          </w:tcPr>
          <w:p>
            <w:pPr>
              <w:jc w:val="center"/>
              <w:rPr>
                <w:rFonts w:asciiTheme="minorEastAsia" w:hAnsiTheme="minorEastAsia" w:cstheme="minorHAnsi"/>
                <w:b/>
                <w:sz w:val="24"/>
                <w:szCs w:val="24"/>
              </w:rPr>
            </w:pPr>
            <w:r>
              <w:rPr>
                <w:rFonts w:asciiTheme="minorEastAsia" w:hAnsiTheme="minorEastAsia" w:cstheme="minorHAnsi"/>
                <w:b/>
                <w:sz w:val="24"/>
                <w:szCs w:val="24"/>
              </w:rPr>
              <w:t>序号</w:t>
            </w:r>
          </w:p>
        </w:tc>
        <w:tc>
          <w:tcPr>
            <w:tcW w:w="1414" w:type="dxa"/>
            <w:shd w:val="clear" w:color="auto" w:fill="EEECE1"/>
            <w:vAlign w:val="center"/>
          </w:tcPr>
          <w:p>
            <w:pPr>
              <w:jc w:val="center"/>
              <w:rPr>
                <w:rFonts w:asciiTheme="minorEastAsia" w:hAnsiTheme="minorEastAsia" w:cstheme="minorHAnsi"/>
                <w:b/>
                <w:sz w:val="24"/>
                <w:szCs w:val="24"/>
              </w:rPr>
            </w:pPr>
            <w:r>
              <w:rPr>
                <w:rFonts w:hint="eastAsia" w:asciiTheme="minorEastAsia" w:hAnsiTheme="minorEastAsia" w:cstheme="minorHAnsi"/>
                <w:b/>
                <w:sz w:val="24"/>
                <w:szCs w:val="24"/>
              </w:rPr>
              <w:t>技术指标</w:t>
            </w:r>
          </w:p>
        </w:tc>
        <w:tc>
          <w:tcPr>
            <w:tcW w:w="6666" w:type="dxa"/>
            <w:shd w:val="clear" w:color="auto" w:fill="EEECE1"/>
            <w:vAlign w:val="center"/>
          </w:tcPr>
          <w:p>
            <w:pPr>
              <w:jc w:val="center"/>
              <w:rPr>
                <w:rFonts w:asciiTheme="minorEastAsia" w:hAnsiTheme="minorEastAsia" w:cstheme="minorHAnsi"/>
                <w:b/>
                <w:sz w:val="24"/>
                <w:szCs w:val="24"/>
              </w:rPr>
            </w:pPr>
            <w:r>
              <w:rPr>
                <w:rFonts w:hint="eastAsia" w:asciiTheme="minorEastAsia" w:hAnsiTheme="minorEastAsia" w:cstheme="minorHAnsi"/>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1646"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1</w:t>
            </w:r>
          </w:p>
        </w:tc>
        <w:tc>
          <w:tcPr>
            <w:tcW w:w="1414" w:type="dxa"/>
            <w:vAlign w:val="center"/>
          </w:tcPr>
          <w:p>
            <w:pPr>
              <w:jc w:val="left"/>
              <w:rPr>
                <w:rFonts w:cs="Segoe UI Symbol" w:asciiTheme="minorEastAsia" w:hAnsiTheme="minorEastAsia"/>
                <w:bCs/>
                <w:sz w:val="24"/>
                <w:szCs w:val="24"/>
              </w:rPr>
            </w:pPr>
            <w:r>
              <w:rPr>
                <w:rFonts w:asciiTheme="minorEastAsia" w:hAnsiTheme="minorEastAsia"/>
                <w:color w:val="000000"/>
                <w:sz w:val="24"/>
                <w:szCs w:val="24"/>
              </w:rPr>
              <w:t>★</w:t>
            </w:r>
            <w:r>
              <w:rPr>
                <w:rFonts w:hint="eastAsia" w:cs="Segoe UI Symbol" w:asciiTheme="minorEastAsia" w:hAnsiTheme="minorEastAsia"/>
                <w:bCs/>
                <w:sz w:val="24"/>
                <w:szCs w:val="24"/>
              </w:rPr>
              <w:t>体系结构</w:t>
            </w:r>
          </w:p>
        </w:tc>
        <w:tc>
          <w:tcPr>
            <w:tcW w:w="6666" w:type="dxa"/>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必须使用独立的专用硬件设备，实现苏北医院数据中心与洪泉医院数据中心的存储双活负载均衡。</w:t>
            </w:r>
          </w:p>
          <w:p>
            <w:pPr>
              <w:rPr>
                <w:rFonts w:asciiTheme="minorEastAsia" w:hAnsiTheme="minorEastAsia" w:cstheme="minorHAnsi"/>
                <w:sz w:val="24"/>
                <w:szCs w:val="24"/>
              </w:rPr>
            </w:pPr>
            <w:r>
              <w:rPr>
                <w:rFonts w:hint="eastAsia" w:asciiTheme="minorEastAsia" w:hAnsiTheme="minorEastAsia" w:cstheme="minorHAnsi"/>
                <w:sz w:val="24"/>
                <w:szCs w:val="24"/>
              </w:rPr>
              <w:t>如采用与苏北医院数据中心存储网关不同品牌型号设备或其他替代方案的必须满足本条目的所有技术规格要求，且必须有所投产品原厂商提供包括但不限于技术白皮书，技术设计方案，实施方案，数据迁移方案，案例等，由原厂商提供包括数据迁移服务在内的所有必要服务，并由所投产品的原厂商和苏北医院数据中心存储网关品牌原厂商保证数据100%的可靠性，以上均需要由原厂商提供书面资料并盖原厂商的公章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28"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2</w:t>
            </w:r>
          </w:p>
        </w:tc>
        <w:tc>
          <w:tcPr>
            <w:tcW w:w="1414" w:type="dxa"/>
            <w:vAlign w:val="center"/>
          </w:tcPr>
          <w:p>
            <w:pPr>
              <w:jc w:val="left"/>
              <w:rPr>
                <w:rFonts w:cs="Segoe UI Symbol" w:asciiTheme="minorEastAsia" w:hAnsiTheme="minorEastAsia"/>
                <w:bCs/>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容灾要求</w:t>
            </w:r>
          </w:p>
        </w:tc>
        <w:tc>
          <w:tcPr>
            <w:tcW w:w="6666" w:type="dxa"/>
            <w:vAlign w:val="center"/>
          </w:tcPr>
          <w:p>
            <w:pPr>
              <w:rPr>
                <w:rFonts w:asciiTheme="minorEastAsia" w:hAnsiTheme="minorEastAsia"/>
                <w:color w:val="000000"/>
                <w:sz w:val="24"/>
                <w:szCs w:val="24"/>
              </w:rPr>
            </w:pPr>
            <w:r>
              <w:rPr>
                <w:rFonts w:hint="eastAsia" w:asciiTheme="minorEastAsia" w:hAnsiTheme="minorEastAsia"/>
                <w:color w:val="000000"/>
                <w:sz w:val="24"/>
                <w:szCs w:val="24"/>
              </w:rPr>
              <w:t>提供N+1集群方式，支持洪泉医院本地机房及与苏北医院远程机房的跨数据中心双活功能，实现跨机房的存储虚拟化功能。</w:t>
            </w:r>
          </w:p>
          <w:p>
            <w:pPr>
              <w:rPr>
                <w:rFonts w:asciiTheme="minorEastAsia" w:hAnsiTheme="minorEastAsia" w:cstheme="minorHAnsi"/>
                <w:sz w:val="24"/>
                <w:szCs w:val="24"/>
              </w:rPr>
            </w:pPr>
            <w:r>
              <w:rPr>
                <w:rFonts w:hint="eastAsia" w:asciiTheme="minorEastAsia" w:hAnsiTheme="minorEastAsia"/>
                <w:color w:val="000000"/>
                <w:sz w:val="24"/>
                <w:szCs w:val="24"/>
              </w:rPr>
              <w:t>可做到RPO=0，RTO接近于0。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366"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3</w:t>
            </w:r>
          </w:p>
        </w:tc>
        <w:tc>
          <w:tcPr>
            <w:tcW w:w="1414" w:type="dxa"/>
            <w:vAlign w:val="center"/>
          </w:tcPr>
          <w:p>
            <w:pPr>
              <w:jc w:val="left"/>
              <w:rPr>
                <w:rFonts w:asciiTheme="minorEastAsia" w:hAnsiTheme="minorEastAsia"/>
                <w:color w:val="000000"/>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控制器要求</w:t>
            </w:r>
          </w:p>
        </w:tc>
        <w:tc>
          <w:tcPr>
            <w:tcW w:w="6666" w:type="dxa"/>
            <w:vAlign w:val="center"/>
          </w:tcPr>
          <w:p>
            <w:pPr>
              <w:rPr>
                <w:rFonts w:asciiTheme="minorEastAsia" w:hAnsiTheme="minorEastAsia" w:cstheme="minorHAnsi"/>
                <w:color w:val="000000" w:themeColor="text1"/>
                <w:sz w:val="24"/>
                <w:szCs w:val="24"/>
              </w:rPr>
            </w:pPr>
            <w:r>
              <w:rPr>
                <w:rFonts w:hint="eastAsia" w:asciiTheme="minorEastAsia" w:hAnsiTheme="minorEastAsia"/>
                <w:color w:val="000000"/>
                <w:sz w:val="24"/>
                <w:szCs w:val="24"/>
              </w:rPr>
              <w:t>本次项目洪泉医院配置</w:t>
            </w:r>
            <w:r>
              <w:rPr>
                <w:rFonts w:hint="eastAsia" w:asciiTheme="minorEastAsia" w:hAnsiTheme="minorEastAsia" w:cstheme="minorHAnsi"/>
                <w:color w:val="000000" w:themeColor="text1"/>
                <w:sz w:val="24"/>
                <w:szCs w:val="24"/>
              </w:rPr>
              <w:t>控制器</w:t>
            </w:r>
            <w:r>
              <w:rPr>
                <w:rFonts w:hint="eastAsia" w:asciiTheme="minorEastAsia" w:hAnsiTheme="minorEastAsia"/>
                <w:color w:val="000000" w:themeColor="text1"/>
                <w:sz w:val="24"/>
                <w:szCs w:val="24"/>
              </w:rPr>
              <w:t>≥4个控制器</w:t>
            </w:r>
            <w:r>
              <w:rPr>
                <w:rFonts w:hint="eastAsia" w:asciiTheme="minorEastAsia" w:hAnsiTheme="minorEastAsia"/>
                <w:color w:val="000000"/>
                <w:sz w:val="24"/>
                <w:szCs w:val="24"/>
              </w:rPr>
              <w:t>，未来可横向扩展至6个以上</w:t>
            </w:r>
            <w:r>
              <w:rPr>
                <w:rFonts w:hint="eastAsia" w:asciiTheme="minorEastAsia" w:hAnsiTheme="minorEastAsia"/>
                <w:color w:val="000000" w:themeColor="text1"/>
                <w:sz w:val="24"/>
                <w:szCs w:val="24"/>
              </w:rPr>
              <w:t>。核心处理器≥2.4GHz芯片主频</w:t>
            </w:r>
            <w:r>
              <w:rPr>
                <w:rFonts w:hint="eastAsia" w:asciiTheme="minorEastAsia" w:hAnsiTheme="minorEastAsia" w:cstheme="minorHAnsi"/>
                <w:color w:val="000000" w:themeColor="text1"/>
                <w:sz w:val="24"/>
                <w:szCs w:val="24"/>
              </w:rPr>
              <w:t>；</w:t>
            </w:r>
            <w:r>
              <w:rPr>
                <w:rFonts w:hint="eastAsia" w:asciiTheme="minorEastAsia" w:hAnsiTheme="minorEastAsia"/>
                <w:color w:val="000000" w:themeColor="text1"/>
                <w:sz w:val="24"/>
                <w:szCs w:val="24"/>
              </w:rPr>
              <w:t>配置端口数≥32个8Gb/s FC接口；缓存≥144GB，在异常断电情况下，保证数据完全写到磁盘中，对缓存数据提供连续保护，保证数据的高可用性及一致性。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28"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4</w:t>
            </w:r>
          </w:p>
        </w:tc>
        <w:tc>
          <w:tcPr>
            <w:tcW w:w="1414" w:type="dxa"/>
            <w:vAlign w:val="center"/>
          </w:tcPr>
          <w:p>
            <w:pPr>
              <w:jc w:val="left"/>
              <w:rPr>
                <w:rFonts w:asciiTheme="minorEastAsia" w:hAnsiTheme="minorEastAsia"/>
                <w:color w:val="000000"/>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性能要求</w:t>
            </w:r>
          </w:p>
        </w:tc>
        <w:tc>
          <w:tcPr>
            <w:tcW w:w="6666" w:type="dxa"/>
            <w:vAlign w:val="center"/>
          </w:tcPr>
          <w:p>
            <w:pPr>
              <w:rPr>
                <w:rFonts w:asciiTheme="minorEastAsia" w:hAnsiTheme="minorEastAsia"/>
                <w:color w:val="000000"/>
                <w:sz w:val="24"/>
                <w:szCs w:val="24"/>
              </w:rPr>
            </w:pPr>
            <w:r>
              <w:rPr>
                <w:rFonts w:hint="eastAsia" w:asciiTheme="minorEastAsia" w:hAnsiTheme="minorEastAsia"/>
                <w:color w:val="000000"/>
                <w:sz w:val="24"/>
                <w:szCs w:val="24"/>
              </w:rPr>
              <w:t>要求独立于主机和存储，虚拟化的功能不影响主机性能和存储设备的性能，不会消耗主机和存储的资源；性能具有扩展性，并且随着控制器数量的增加，要求性能也随着线性增长；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28"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5</w:t>
            </w:r>
          </w:p>
        </w:tc>
        <w:tc>
          <w:tcPr>
            <w:tcW w:w="1414" w:type="dxa"/>
            <w:vAlign w:val="center"/>
          </w:tcPr>
          <w:p>
            <w:pPr>
              <w:jc w:val="left"/>
              <w:rPr>
                <w:rFonts w:asciiTheme="minorEastAsia" w:hAnsiTheme="minorEastAsia"/>
                <w:color w:val="000000"/>
                <w:sz w:val="24"/>
                <w:szCs w:val="24"/>
              </w:rPr>
            </w:pPr>
            <w:r>
              <w:rPr>
                <w:rFonts w:asciiTheme="minorEastAsia" w:hAnsiTheme="minorEastAsia"/>
                <w:color w:val="000000"/>
                <w:sz w:val="24"/>
                <w:szCs w:val="24"/>
              </w:rPr>
              <w:t>★</w:t>
            </w:r>
            <w:r>
              <w:rPr>
                <w:rFonts w:hint="eastAsia" w:asciiTheme="minorEastAsia" w:hAnsiTheme="minorEastAsia"/>
                <w:color w:val="000000"/>
                <w:sz w:val="24"/>
                <w:szCs w:val="24"/>
              </w:rPr>
              <w:t>容量支持</w:t>
            </w:r>
          </w:p>
        </w:tc>
        <w:tc>
          <w:tcPr>
            <w:tcW w:w="6666" w:type="dxa"/>
            <w:vAlign w:val="center"/>
          </w:tcPr>
          <w:p>
            <w:pPr>
              <w:rPr>
                <w:rFonts w:asciiTheme="minorEastAsia" w:hAnsiTheme="minorEastAsia"/>
                <w:color w:val="000000"/>
                <w:sz w:val="24"/>
                <w:szCs w:val="24"/>
              </w:rPr>
            </w:pPr>
            <w:r>
              <w:rPr>
                <w:rFonts w:hint="eastAsia" w:asciiTheme="minorEastAsia" w:hAnsiTheme="minorEastAsia"/>
                <w:color w:val="000000"/>
                <w:sz w:val="24"/>
                <w:szCs w:val="24"/>
              </w:rPr>
              <w:t>需满足我院所有存储设备的接入许可，本次洪泉医院新购的数据存储设备的100T容量许可，以及需远程容灾至洪泉医院的50TB容量许可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28"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6</w:t>
            </w:r>
          </w:p>
        </w:tc>
        <w:tc>
          <w:tcPr>
            <w:tcW w:w="1414" w:type="dxa"/>
            <w:vAlign w:val="center"/>
          </w:tcPr>
          <w:p>
            <w:pPr>
              <w:jc w:val="left"/>
              <w:rPr>
                <w:rFonts w:asciiTheme="minorEastAsia" w:hAnsiTheme="minorEastAsia"/>
                <w:color w:val="000000"/>
                <w:sz w:val="24"/>
                <w:szCs w:val="24"/>
              </w:rPr>
            </w:pPr>
            <w:r>
              <w:rPr>
                <w:rFonts w:hint="eastAsia" w:asciiTheme="minorEastAsia" w:hAnsiTheme="minorEastAsia"/>
                <w:color w:val="000000"/>
                <w:sz w:val="24"/>
                <w:szCs w:val="24"/>
              </w:rPr>
              <w:t>异构支持</w:t>
            </w:r>
          </w:p>
        </w:tc>
        <w:tc>
          <w:tcPr>
            <w:tcW w:w="6666" w:type="dxa"/>
            <w:vAlign w:val="center"/>
          </w:tcPr>
          <w:p>
            <w:pPr>
              <w:rPr>
                <w:rFonts w:asciiTheme="minorEastAsia" w:hAnsiTheme="minorEastAsia"/>
                <w:color w:val="000000"/>
                <w:sz w:val="24"/>
                <w:szCs w:val="24"/>
              </w:rPr>
            </w:pPr>
            <w:r>
              <w:rPr>
                <w:rFonts w:hint="eastAsia" w:asciiTheme="minorEastAsia" w:hAnsiTheme="minorEastAsia"/>
                <w:color w:val="000000"/>
                <w:sz w:val="24"/>
                <w:szCs w:val="24"/>
              </w:rPr>
              <w:t>可以通过硬件的方式将EMC，Netapp，IBM，H3C，新华三（HP）等阵列容灾管理，可以在此容灾设备上实现EMC，Netapp，IBM，H3C，新华三（HP）等阵列的卷镜像保护。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5" w:type="dxa"/>
            <w:left w:w="55" w:type="dxa"/>
            <w:bottom w:w="55" w:type="dxa"/>
            <w:right w:w="55" w:type="dxa"/>
          </w:tblCellMar>
        </w:tblPrEx>
        <w:trPr>
          <w:trHeight w:val="28" w:hRule="atLeast"/>
        </w:trPr>
        <w:tc>
          <w:tcPr>
            <w:tcW w:w="672" w:type="dxa"/>
            <w:vAlign w:val="center"/>
          </w:tcPr>
          <w:p>
            <w:pPr>
              <w:jc w:val="center"/>
              <w:rPr>
                <w:rFonts w:asciiTheme="minorEastAsia" w:hAnsiTheme="minorEastAsia" w:cstheme="minorHAnsi"/>
                <w:bCs/>
                <w:sz w:val="24"/>
                <w:szCs w:val="24"/>
              </w:rPr>
            </w:pPr>
            <w:r>
              <w:rPr>
                <w:rFonts w:hint="eastAsia" w:asciiTheme="minorEastAsia" w:hAnsiTheme="minorEastAsia" w:cstheme="minorHAnsi"/>
                <w:bCs/>
                <w:sz w:val="24"/>
                <w:szCs w:val="24"/>
              </w:rPr>
              <w:t>7</w:t>
            </w:r>
          </w:p>
        </w:tc>
        <w:tc>
          <w:tcPr>
            <w:tcW w:w="1414" w:type="dxa"/>
            <w:vAlign w:val="center"/>
          </w:tcPr>
          <w:p>
            <w:pPr>
              <w:rPr>
                <w:rFonts w:asciiTheme="minorEastAsia" w:hAnsiTheme="minorEastAsia" w:cstheme="minorHAnsi"/>
                <w:bCs/>
                <w:sz w:val="24"/>
                <w:szCs w:val="24"/>
              </w:rPr>
            </w:pPr>
            <w:r>
              <w:rPr>
                <w:rFonts w:asciiTheme="minorEastAsia" w:hAnsiTheme="minorEastAsia"/>
                <w:color w:val="000000"/>
                <w:sz w:val="24"/>
                <w:szCs w:val="24"/>
              </w:rPr>
              <w:t>★</w:t>
            </w:r>
            <w:r>
              <w:rPr>
                <w:rFonts w:asciiTheme="minorEastAsia" w:hAnsiTheme="minorEastAsia" w:cstheme="minorHAnsi"/>
                <w:bCs/>
                <w:sz w:val="24"/>
                <w:szCs w:val="24"/>
              </w:rPr>
              <w:t>服务</w:t>
            </w:r>
            <w:r>
              <w:rPr>
                <w:rFonts w:hint="eastAsia" w:asciiTheme="minorEastAsia" w:hAnsiTheme="minorEastAsia" w:cstheme="minorHAnsi"/>
                <w:bCs/>
                <w:sz w:val="24"/>
                <w:szCs w:val="24"/>
              </w:rPr>
              <w:t>与授权</w:t>
            </w:r>
          </w:p>
        </w:tc>
        <w:tc>
          <w:tcPr>
            <w:tcW w:w="6666" w:type="dxa"/>
            <w:vAlign w:val="center"/>
          </w:tcPr>
          <w:p>
            <w:pPr>
              <w:rPr>
                <w:rFonts w:asciiTheme="minorEastAsia" w:hAnsiTheme="minorEastAsia" w:cstheme="minorHAnsi"/>
                <w:sz w:val="24"/>
                <w:szCs w:val="24"/>
              </w:rPr>
            </w:pPr>
            <w:r>
              <w:rPr>
                <w:rFonts w:hint="eastAsia" w:asciiTheme="minorEastAsia" w:hAnsiTheme="minorEastAsia" w:cstheme="minorHAnsi"/>
                <w:sz w:val="24"/>
                <w:szCs w:val="24"/>
              </w:rPr>
              <w:t>报价时</w:t>
            </w:r>
            <w:r>
              <w:rPr>
                <w:rFonts w:asciiTheme="minorEastAsia" w:hAnsiTheme="minorEastAsia" w:cstheme="minorHAnsi"/>
                <w:sz w:val="24"/>
                <w:szCs w:val="24"/>
              </w:rPr>
              <w:t>提供原厂针对本项目的</w:t>
            </w:r>
            <w:r>
              <w:rPr>
                <w:rFonts w:hint="eastAsia" w:asciiTheme="minorEastAsia" w:hAnsiTheme="minorEastAsia"/>
                <w:sz w:val="24"/>
                <w:szCs w:val="24"/>
              </w:rPr>
              <w:t>授权函和服务承诺函</w:t>
            </w:r>
            <w:r>
              <w:rPr>
                <w:rFonts w:asciiTheme="minorEastAsia" w:hAnsiTheme="minorEastAsia" w:cstheme="minorHAnsi"/>
                <w:sz w:val="24"/>
                <w:szCs w:val="24"/>
              </w:rPr>
              <w:t>。提供原厂7×24小时,4小时响应服务</w:t>
            </w:r>
            <w:r>
              <w:rPr>
                <w:rFonts w:hint="eastAsia" w:asciiTheme="minorEastAsia" w:hAnsiTheme="minorEastAsia" w:cstheme="minorHAnsi"/>
                <w:sz w:val="24"/>
                <w:szCs w:val="24"/>
              </w:rPr>
              <w:t>,不少于3年原厂售后服务</w:t>
            </w:r>
            <w:r>
              <w:rPr>
                <w:rFonts w:asciiTheme="minorEastAsia" w:hAnsiTheme="minorEastAsia" w:cstheme="minorHAnsi"/>
                <w:sz w:val="24"/>
                <w:szCs w:val="24"/>
              </w:rPr>
              <w:t>。</w:t>
            </w:r>
          </w:p>
        </w:tc>
      </w:tr>
    </w:tbl>
    <w:p>
      <w:pPr>
        <w:pStyle w:val="3"/>
        <w:rPr>
          <w:sz w:val="28"/>
          <w:szCs w:val="28"/>
        </w:rPr>
      </w:pPr>
      <w:r>
        <w:rPr>
          <w:rFonts w:hint="eastAsia"/>
        </w:rPr>
        <w:t>4.10</w:t>
      </w:r>
      <w:r>
        <w:rPr>
          <w:rFonts w:hint="eastAsia"/>
          <w:sz w:val="28"/>
          <w:szCs w:val="28"/>
        </w:rPr>
        <w:t>核心、光纤交换机级联</w:t>
      </w:r>
    </w:p>
    <w:tbl>
      <w:tblPr>
        <w:tblStyle w:val="10"/>
        <w:tblW w:w="8682" w:type="dxa"/>
        <w:jc w:val="center"/>
        <w:tblInd w:w="-2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406"/>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blHeader/>
          <w:jc w:val="center"/>
        </w:trPr>
        <w:tc>
          <w:tcPr>
            <w:tcW w:w="755"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406"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2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755"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406"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基本要求</w:t>
            </w:r>
          </w:p>
        </w:tc>
        <w:tc>
          <w:tcPr>
            <w:tcW w:w="6521"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针对我院现有的两台CISCO N9504核心交换机和两台MDS9148光纤交换机各增加1个30KM以上的远距离单模模块以及相对应的软件许可</w:t>
            </w:r>
          </w:p>
        </w:tc>
      </w:tr>
    </w:tbl>
    <w:p/>
    <w:p>
      <w:pPr>
        <w:pStyle w:val="3"/>
      </w:pPr>
      <w:r>
        <w:rPr>
          <w:rFonts w:hint="eastAsia"/>
        </w:rPr>
        <w:t>4.11容灾实施服务</w:t>
      </w:r>
    </w:p>
    <w:tbl>
      <w:tblPr>
        <w:tblStyle w:val="10"/>
        <w:tblW w:w="8755"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910"/>
        <w:gridCol w:w="6028"/>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817" w:type="dxa"/>
            <w:vAlign w:val="center"/>
          </w:tcPr>
          <w:p>
            <w:pPr>
              <w:pStyle w:val="22"/>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910" w:type="dxa"/>
            <w:vAlign w:val="center"/>
          </w:tcPr>
          <w:p>
            <w:pPr>
              <w:pStyle w:val="22"/>
              <w:jc w:val="center"/>
              <w:rPr>
                <w:rFonts w:cs="Arial Unicode MS" w:asciiTheme="minorEastAsia" w:hAnsiTheme="minorEastAsia"/>
                <w:b/>
                <w:sz w:val="24"/>
                <w:szCs w:val="24"/>
              </w:rPr>
            </w:pPr>
            <w:r>
              <w:rPr>
                <w:rFonts w:cs="Arial Unicode MS" w:asciiTheme="minorEastAsia" w:hAnsiTheme="minorEastAsia"/>
                <w:b/>
                <w:sz w:val="24"/>
                <w:szCs w:val="24"/>
              </w:rPr>
              <w:t>技术指标</w:t>
            </w:r>
          </w:p>
        </w:tc>
        <w:tc>
          <w:tcPr>
            <w:tcW w:w="6028" w:type="dxa"/>
            <w:vAlign w:val="center"/>
          </w:tcPr>
          <w:p>
            <w:pPr>
              <w:pStyle w:val="22"/>
              <w:jc w:val="center"/>
              <w:rPr>
                <w:rFonts w:cs="Arial Unicode MS" w:asciiTheme="minorEastAsia" w:hAnsiTheme="minorEastAsia"/>
                <w:b/>
                <w:sz w:val="24"/>
                <w:szCs w:val="24"/>
              </w:rPr>
            </w:pPr>
            <w:r>
              <w:rPr>
                <w:rFonts w:cs="Arial Unicode MS" w:asciiTheme="minorEastAsia" w:hAnsiTheme="minorEastAsia"/>
                <w:b/>
                <w:sz w:val="24"/>
                <w:szCs w:val="24"/>
              </w:rPr>
              <w:t>参数要求</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c>
          <w:tcPr>
            <w:tcW w:w="817" w:type="dxa"/>
            <w:vAlign w:val="center"/>
          </w:tcPr>
          <w:p>
            <w:pPr>
              <w:snapToGrid w:val="0"/>
              <w:spacing w:beforeLines="20" w:afterLines="20"/>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910" w:type="dxa"/>
            <w:vAlign w:val="center"/>
          </w:tcPr>
          <w:p>
            <w:pPr>
              <w:snapToGrid w:val="0"/>
              <w:spacing w:beforeLines="20" w:afterLines="20"/>
              <w:jc w:val="center"/>
              <w:rPr>
                <w:rFonts w:ascii="宋体" w:hAnsi="宋体"/>
                <w:sz w:val="24"/>
                <w:szCs w:val="24"/>
              </w:rPr>
            </w:pPr>
            <w:r>
              <w:rPr>
                <w:rFonts w:hint="eastAsia" w:ascii="宋体" w:hAnsi="宋体" w:cs="宋体"/>
                <w:color w:val="000000"/>
                <w:kern w:val="0"/>
                <w:sz w:val="24"/>
                <w:szCs w:val="24"/>
              </w:rPr>
              <w:t>★</w:t>
            </w:r>
            <w:r>
              <w:rPr>
                <w:rFonts w:hint="eastAsia" w:ascii="宋体" w:hAnsi="宋体"/>
                <w:sz w:val="24"/>
                <w:szCs w:val="24"/>
              </w:rPr>
              <w:t>容灾实施要求</w:t>
            </w:r>
          </w:p>
        </w:tc>
        <w:tc>
          <w:tcPr>
            <w:tcW w:w="6028" w:type="dxa"/>
            <w:vAlign w:val="center"/>
          </w:tcPr>
          <w:p>
            <w:pPr>
              <w:spacing w:beforeLines="20" w:afterLines="20"/>
              <w:rPr>
                <w:rFonts w:ascii="宋体" w:hAnsi="宋体" w:cs="宋体"/>
                <w:color w:val="000000"/>
                <w:sz w:val="24"/>
                <w:szCs w:val="24"/>
              </w:rPr>
            </w:pPr>
            <w:r>
              <w:rPr>
                <w:rFonts w:hint="eastAsia" w:ascii="宋体" w:hAnsi="宋体" w:cs="宋体"/>
                <w:color w:val="000000"/>
                <w:sz w:val="24"/>
                <w:szCs w:val="24"/>
              </w:rPr>
              <w:t>1）完成现有洪泉医院HIS数据库的回迁工作，业务停机时间小于15分钟；同时配置洪泉到苏北之间的容灾策略;</w:t>
            </w:r>
          </w:p>
          <w:p>
            <w:pPr>
              <w:spacing w:beforeLines="20" w:afterLines="20"/>
              <w:rPr>
                <w:rFonts w:ascii="宋体" w:hAnsi="宋体" w:cs="宋体"/>
                <w:color w:val="000000"/>
                <w:sz w:val="24"/>
                <w:szCs w:val="24"/>
              </w:rPr>
            </w:pPr>
            <w:r>
              <w:rPr>
                <w:rFonts w:hint="eastAsia" w:ascii="宋体" w:hAnsi="宋体" w:cs="宋体"/>
                <w:color w:val="000000"/>
                <w:sz w:val="24"/>
                <w:szCs w:val="24"/>
              </w:rPr>
              <w:t>2)完成现有苏北医院HIS数据库的调整,配置苏北到洪泉之间的容灾策略;</w:t>
            </w:r>
          </w:p>
          <w:p>
            <w:pPr>
              <w:spacing w:beforeLines="20" w:afterLines="20"/>
              <w:rPr>
                <w:rFonts w:ascii="宋体" w:hAnsi="宋体"/>
                <w:color w:val="000000"/>
                <w:sz w:val="24"/>
                <w:szCs w:val="24"/>
              </w:rPr>
            </w:pPr>
            <w:r>
              <w:rPr>
                <w:rFonts w:hint="eastAsia" w:ascii="宋体" w:hAnsi="宋体" w:cs="宋体"/>
                <w:color w:val="000000"/>
                <w:sz w:val="24"/>
                <w:szCs w:val="24"/>
              </w:rPr>
              <w:t>3)</w:t>
            </w:r>
            <w:r>
              <w:rPr>
                <w:rFonts w:hint="eastAsia" w:ascii="宋体" w:hAnsi="宋体"/>
                <w:color w:val="000000"/>
                <w:sz w:val="24"/>
                <w:szCs w:val="24"/>
              </w:rPr>
              <w:t>确保“容灾系统”的可用性，在苏北医院和洪泉医院之间构建应用级灾备系统，并确保其长期稳定运行，提出两中心负载的最佳运行调度策略；</w:t>
            </w:r>
          </w:p>
          <w:p>
            <w:pPr>
              <w:spacing w:beforeLines="20" w:afterLines="20"/>
              <w:rPr>
                <w:rFonts w:ascii="宋体" w:hAnsi="宋体" w:cs="宋体"/>
                <w:color w:val="000000"/>
                <w:sz w:val="24"/>
                <w:szCs w:val="24"/>
              </w:rPr>
            </w:pPr>
            <w:r>
              <w:rPr>
                <w:rFonts w:hint="eastAsia" w:ascii="宋体" w:hAnsi="宋体" w:cs="宋体"/>
                <w:color w:val="000000"/>
                <w:sz w:val="24"/>
                <w:szCs w:val="24"/>
              </w:rPr>
              <w:t>4)对现有客户端、应用配置、访问策略进行调整，确保灾备系统切换后，可快速（5分钟内）恢复应用；</w:t>
            </w:r>
          </w:p>
          <w:p>
            <w:pPr>
              <w:spacing w:beforeLines="20" w:afterLines="20"/>
              <w:rPr>
                <w:rFonts w:ascii="宋体" w:hAnsi="宋体"/>
                <w:color w:val="000000"/>
                <w:sz w:val="24"/>
                <w:szCs w:val="24"/>
              </w:rPr>
            </w:pPr>
            <w:r>
              <w:rPr>
                <w:rFonts w:hint="eastAsia" w:ascii="宋体" w:hAnsi="宋体" w:cs="宋体"/>
                <w:color w:val="000000"/>
                <w:sz w:val="24"/>
                <w:szCs w:val="24"/>
              </w:rPr>
              <w:t>5)</w:t>
            </w:r>
            <w:r>
              <w:rPr>
                <w:rFonts w:hint="eastAsia" w:ascii="宋体" w:hAnsi="宋体"/>
                <w:color w:val="000000"/>
                <w:sz w:val="24"/>
                <w:szCs w:val="24"/>
              </w:rPr>
              <w:t>承担灾备关键系统外联单位端（包含医保、新农合等）网络系统的调整实施，确保网络切换满足上述技术要求；</w:t>
            </w:r>
          </w:p>
          <w:p>
            <w:pPr>
              <w:spacing w:beforeLines="20" w:afterLines="20"/>
              <w:rPr>
                <w:rFonts w:ascii="宋体" w:hAnsi="宋体"/>
                <w:color w:val="000000"/>
                <w:sz w:val="24"/>
                <w:szCs w:val="24"/>
              </w:rPr>
            </w:pPr>
            <w:r>
              <w:rPr>
                <w:rFonts w:hint="eastAsia" w:ascii="宋体" w:hAnsi="宋体" w:cs="宋体"/>
                <w:color w:val="000000"/>
                <w:sz w:val="24"/>
                <w:szCs w:val="24"/>
              </w:rPr>
              <w:t>6)</w:t>
            </w:r>
            <w:r>
              <w:rPr>
                <w:rFonts w:hint="eastAsia" w:ascii="宋体" w:hAnsi="宋体"/>
                <w:color w:val="000000"/>
                <w:sz w:val="24"/>
                <w:szCs w:val="24"/>
              </w:rPr>
              <w:t>提交完善可行，切合用户方实际的高可用性容灾备份管理方案，协助用户方信息中心建成完备的灾备管理组织架构，确保整个高可用性灾备中心建设符合等保三级的要求；</w:t>
            </w:r>
          </w:p>
          <w:p>
            <w:pPr>
              <w:spacing w:beforeLines="20" w:afterLines="20"/>
              <w:rPr>
                <w:rFonts w:ascii="宋体" w:hAnsi="宋体"/>
                <w:color w:val="000000"/>
                <w:sz w:val="24"/>
                <w:szCs w:val="24"/>
              </w:rPr>
            </w:pPr>
            <w:r>
              <w:rPr>
                <w:rFonts w:hint="eastAsia" w:ascii="宋体" w:hAnsi="宋体" w:cs="宋体"/>
                <w:color w:val="000000"/>
                <w:sz w:val="24"/>
                <w:szCs w:val="24"/>
              </w:rPr>
              <w:t>7)</w:t>
            </w:r>
            <w:r>
              <w:rPr>
                <w:rFonts w:hint="eastAsia" w:ascii="宋体" w:hAnsi="宋体"/>
                <w:color w:val="000000"/>
                <w:sz w:val="24"/>
                <w:szCs w:val="24"/>
              </w:rPr>
              <w:t>承担应用级容灾备份演练实施任务，灾备中心上线前应至少完成两次演练，交付上线后在免费服务期内应至少每年实施一次演练，并确保不影响生产中心正常对外提供服务，演练应包含完整的、考虑各种因素的切换和回切过程。</w:t>
            </w:r>
          </w:p>
        </w:tc>
      </w:tr>
    </w:tbl>
    <w:p/>
    <w:p>
      <w:pPr>
        <w:pStyle w:val="3"/>
        <w:rPr>
          <w:rFonts w:asciiTheme="minorEastAsia" w:hAnsiTheme="minorEastAsia"/>
          <w:sz w:val="28"/>
          <w:szCs w:val="28"/>
        </w:rPr>
      </w:pPr>
      <w:r>
        <w:rPr>
          <w:rFonts w:hint="eastAsia" w:asciiTheme="minorEastAsia" w:hAnsiTheme="minorEastAsia"/>
          <w:sz w:val="28"/>
          <w:szCs w:val="28"/>
        </w:rPr>
        <w:t>第四标段：洪泉医院服务器、存储设备采购参数要求</w:t>
      </w:r>
    </w:p>
    <w:p>
      <w:pPr>
        <w:pStyle w:val="3"/>
        <w:rPr>
          <w:rFonts w:asciiTheme="minorEastAsia" w:hAnsiTheme="minorEastAsia"/>
          <w:sz w:val="28"/>
          <w:szCs w:val="28"/>
        </w:rPr>
      </w:pPr>
      <w:r>
        <w:rPr>
          <w:rFonts w:hint="eastAsia"/>
          <w:bCs w:val="0"/>
          <w:sz w:val="28"/>
          <w:szCs w:val="28"/>
        </w:rPr>
        <w:t>4.12</w:t>
      </w:r>
      <w:r>
        <w:rPr>
          <w:rFonts w:hint="eastAsia" w:asciiTheme="minorEastAsia" w:hAnsiTheme="minorEastAsia"/>
          <w:sz w:val="28"/>
          <w:szCs w:val="28"/>
        </w:rPr>
        <w:t>洪泉医院小型机服务器（数量：2台）</w:t>
      </w:r>
    </w:p>
    <w:tbl>
      <w:tblPr>
        <w:tblStyle w:val="10"/>
        <w:tblW w:w="9182" w:type="dxa"/>
        <w:jc w:val="center"/>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688"/>
        <w:gridCol w:w="6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b/>
                <w:color w:val="000000"/>
                <w:kern w:val="0"/>
                <w:sz w:val="24"/>
                <w:szCs w:val="24"/>
              </w:rPr>
            </w:pPr>
            <w:r>
              <w:rPr>
                <w:rFonts w:hint="eastAsia" w:cs="宋体" w:asciiTheme="minorEastAsia" w:hAnsiTheme="minorEastAsia" w:eastAsiaTheme="minorEastAsia"/>
                <w:b/>
                <w:color w:val="000000"/>
                <w:kern w:val="0"/>
                <w:sz w:val="24"/>
                <w:szCs w:val="24"/>
              </w:rPr>
              <w:t>序号</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b/>
                <w:color w:val="000000"/>
                <w:kern w:val="0"/>
                <w:sz w:val="24"/>
                <w:szCs w:val="24"/>
              </w:rPr>
            </w:pPr>
            <w:r>
              <w:rPr>
                <w:rFonts w:hint="eastAsia" w:cs="宋体" w:asciiTheme="minorEastAsia" w:hAnsiTheme="minorEastAsia" w:eastAsiaTheme="minorEastAsia"/>
                <w:b/>
                <w:color w:val="000000"/>
                <w:kern w:val="0"/>
                <w:sz w:val="24"/>
                <w:szCs w:val="24"/>
              </w:rPr>
              <w:t>技术指标</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b/>
                <w:color w:val="000000"/>
                <w:kern w:val="0"/>
                <w:sz w:val="24"/>
                <w:szCs w:val="24"/>
              </w:rPr>
            </w:pPr>
            <w:r>
              <w:rPr>
                <w:rFonts w:hint="eastAsia" w:cs="宋体" w:asciiTheme="minorEastAsia" w:hAnsiTheme="minorEastAsia" w:eastAsiaTheme="minorEastAsia"/>
                <w:b/>
                <w:color w:val="000000"/>
                <w:kern w:val="0"/>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★处理器配置</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 xml:space="preserve">芯片为RISC或安腾芯片，处理器主频≥2.1GHz,当前配置处理器核数≥32核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★内存容量</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sz w:val="24"/>
                <w:szCs w:val="24"/>
              </w:rPr>
              <w:t>配置内存256</w:t>
            </w:r>
            <w:r>
              <w:rPr>
                <w:rFonts w:cs="宋体" w:asciiTheme="minorEastAsia" w:hAnsiTheme="minorEastAsia" w:eastAsiaTheme="minorEastAsia"/>
                <w:sz w:val="24"/>
                <w:szCs w:val="24"/>
              </w:rPr>
              <w:t>G</w:t>
            </w:r>
            <w:r>
              <w:rPr>
                <w:rFonts w:hint="eastAsia" w:cs="宋体" w:asciiTheme="minorEastAsia" w:hAnsiTheme="minorEastAsia" w:eastAsiaTheme="minorEastAsia"/>
                <w:sz w:val="24"/>
                <w:szCs w:val="24"/>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★光纤通道卡</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配置双口16Gbps FC光纤通道卡≥2块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4</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内置磁盘容量</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配置2*600GB，转速≥10000转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5</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★网络</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配置10Gb/1Gb自适应以太网电口4个</w:t>
            </w:r>
          </w:p>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配置一块10Gb双口以太网光口卡（含光模块）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6</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★分区技术</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支持多个逻辑分区（4个以上），并配置相应的许可证（物理分区NPar或动态逻辑分区LPar或LDom），提供相关软硬件支持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7</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可用性</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内置服务器处理器，支持自诊断，电源、风扇、硬盘等部件冗余并支持热插拨，提供管理控制台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8</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★操作系统</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配置64位UNIX操作系统，开发工具包，支持SMP，支持Oracle、Sybase等数据库，并配置主机高可靠性集群系统。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7"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9</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虚拟化</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配置相应的虚拟化软件，提供原厂的统一管理平台软件，可进行远程硬件监控、告警。支持物理服务器和虚拟服务器管理，支持虚拟映像管理，更新管理，远程访问等功能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4"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center"/>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10</w:t>
            </w:r>
          </w:p>
        </w:tc>
        <w:tc>
          <w:tcPr>
            <w:tcW w:w="1688"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jc w:val="left"/>
              <w:rPr>
                <w:rFonts w:cs="宋体" w:asciiTheme="minorEastAsia" w:hAnsiTheme="minorEastAsia" w:eastAsiaTheme="minorEastAsia"/>
                <w:color w:val="000000"/>
                <w:kern w:val="0"/>
                <w:sz w:val="24"/>
                <w:szCs w:val="24"/>
              </w:rPr>
            </w:pPr>
            <w:r>
              <w:rPr>
                <w:rFonts w:hint="eastAsia" w:cs="宋体" w:asciiTheme="minorEastAsia" w:hAnsiTheme="minorEastAsia" w:eastAsiaTheme="minorEastAsia"/>
                <w:color w:val="000000"/>
                <w:kern w:val="0"/>
                <w:sz w:val="24"/>
                <w:szCs w:val="24"/>
              </w:rPr>
              <w:t>★服务与授权</w:t>
            </w:r>
          </w:p>
        </w:tc>
        <w:tc>
          <w:tcPr>
            <w:tcW w:w="6630" w:type="dxa"/>
            <w:tcBorders>
              <w:top w:val="single" w:color="auto" w:sz="4" w:space="0"/>
              <w:left w:val="single" w:color="auto" w:sz="4" w:space="0"/>
              <w:bottom w:val="single" w:color="auto" w:sz="4" w:space="0"/>
              <w:right w:val="single" w:color="auto" w:sz="4" w:space="0"/>
            </w:tcBorders>
            <w:vAlign w:val="center"/>
          </w:tcPr>
          <w:p>
            <w:pPr>
              <w:pStyle w:val="19"/>
              <w:widowControl/>
              <w:spacing w:line="280" w:lineRule="exact"/>
              <w:rPr>
                <w:rFonts w:cs="宋体" w:asciiTheme="minorEastAsia" w:hAnsiTheme="minorEastAsia" w:eastAsiaTheme="minorEastAsia"/>
                <w:color w:val="000000"/>
                <w:kern w:val="0"/>
                <w:sz w:val="24"/>
                <w:szCs w:val="24"/>
              </w:rPr>
            </w:pPr>
            <w:r>
              <w:rPr>
                <w:rFonts w:hint="eastAsia" w:cs="Calibri" w:asciiTheme="minorEastAsia" w:hAnsiTheme="minorEastAsia" w:eastAsiaTheme="minorEastAsia"/>
                <w:sz w:val="24"/>
                <w:szCs w:val="24"/>
              </w:rPr>
              <w:t>报价时</w:t>
            </w:r>
            <w:r>
              <w:rPr>
                <w:rFonts w:cs="Calibri" w:asciiTheme="minorEastAsia" w:hAnsiTheme="minorEastAsia" w:eastAsiaTheme="minorEastAsia"/>
                <w:sz w:val="24"/>
                <w:szCs w:val="24"/>
              </w:rPr>
              <w:t>提供原厂针对本项目的</w:t>
            </w:r>
            <w:r>
              <w:rPr>
                <w:rFonts w:hint="eastAsia" w:asciiTheme="minorEastAsia" w:hAnsiTheme="minorEastAsia" w:eastAsiaTheme="minorEastAsia"/>
                <w:sz w:val="24"/>
                <w:szCs w:val="24"/>
              </w:rPr>
              <w:t>授权函和服务承诺函</w:t>
            </w:r>
            <w:r>
              <w:rPr>
                <w:rFonts w:cs="Calibri" w:asciiTheme="minorEastAsia" w:hAnsiTheme="minorEastAsia" w:eastAsiaTheme="minorEastAsia"/>
                <w:sz w:val="24"/>
                <w:szCs w:val="24"/>
              </w:rPr>
              <w:t>。提供原厂7×24小时,4小时响应服务</w:t>
            </w:r>
            <w:r>
              <w:rPr>
                <w:rFonts w:hint="eastAsia" w:cs="Calibri" w:asciiTheme="minorEastAsia" w:hAnsiTheme="minorEastAsia" w:eastAsiaTheme="minorEastAsia"/>
                <w:sz w:val="24"/>
                <w:szCs w:val="24"/>
              </w:rPr>
              <w:t>,不少于3年原厂售后服务</w:t>
            </w:r>
            <w:r>
              <w:rPr>
                <w:rFonts w:cs="Calibri" w:asciiTheme="minorEastAsia" w:hAnsiTheme="minorEastAsia" w:eastAsiaTheme="minorEastAsia"/>
                <w:sz w:val="24"/>
                <w:szCs w:val="24"/>
              </w:rPr>
              <w:t>。</w:t>
            </w:r>
          </w:p>
        </w:tc>
      </w:tr>
    </w:tbl>
    <w:p/>
    <w:p/>
    <w:p/>
    <w:p>
      <w:pPr>
        <w:pStyle w:val="3"/>
        <w:rPr>
          <w:rFonts w:asciiTheme="minorEastAsia" w:hAnsiTheme="minorEastAsia"/>
          <w:sz w:val="28"/>
          <w:szCs w:val="28"/>
        </w:rPr>
      </w:pPr>
      <w:r>
        <w:rPr>
          <w:rFonts w:hint="eastAsia" w:asciiTheme="minorEastAsia" w:hAnsiTheme="minorEastAsia"/>
          <w:sz w:val="28"/>
          <w:szCs w:val="28"/>
        </w:rPr>
        <w:t>4.13洪泉医院数据存储设备（数量：1台）</w:t>
      </w:r>
    </w:p>
    <w:tbl>
      <w:tblPr>
        <w:tblStyle w:val="10"/>
        <w:tblW w:w="9106" w:type="dxa"/>
        <w:jc w:val="center"/>
        <w:tblInd w:w="-1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634"/>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blHeader/>
          <w:jc w:val="center"/>
        </w:trPr>
        <w:tc>
          <w:tcPr>
            <w:tcW w:w="893"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634"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79"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893"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架构设计</w:t>
            </w:r>
          </w:p>
        </w:tc>
        <w:tc>
          <w:tcPr>
            <w:tcW w:w="6579"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报价产品型号必须为主流型号，</w:t>
            </w:r>
            <w:r>
              <w:rPr>
                <w:rFonts w:cs="Arial Unicode MS" w:asciiTheme="minorEastAsia" w:hAnsiTheme="minorEastAsia"/>
                <w:sz w:val="24"/>
                <w:szCs w:val="24"/>
              </w:rPr>
              <w:t>非OEM或贴牌产品，设备原厂商在中国设有研发中心或本土企业，商务处理流程及时，到货快捷。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cs="Arial" w:asciiTheme="minorEastAsia" w:hAnsiTheme="minorEastAsia"/>
                <w:sz w:val="24"/>
                <w:szCs w:val="24"/>
              </w:rPr>
              <w:t>2</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体系结构</w:t>
            </w:r>
          </w:p>
        </w:tc>
        <w:tc>
          <w:tcPr>
            <w:tcW w:w="6579" w:type="dxa"/>
            <w:vAlign w:val="center"/>
          </w:tcPr>
          <w:p>
            <w:pPr>
              <w:rPr>
                <w:rFonts w:cs="Arial" w:asciiTheme="minorEastAsia" w:hAnsiTheme="minorEastAsia"/>
                <w:sz w:val="24"/>
                <w:szCs w:val="24"/>
              </w:rPr>
            </w:pPr>
            <w:r>
              <w:rPr>
                <w:rFonts w:cs="宋体" w:asciiTheme="minorEastAsia" w:hAnsiTheme="minorEastAsia"/>
                <w:kern w:val="0"/>
                <w:sz w:val="24"/>
                <w:szCs w:val="24"/>
              </w:rPr>
              <w:t>全冗余模块化统一存储架构，</w:t>
            </w:r>
            <w:r>
              <w:rPr>
                <w:rFonts w:cs="Arial" w:asciiTheme="minorEastAsia" w:hAnsiTheme="minorEastAsia"/>
                <w:sz w:val="24"/>
                <w:szCs w:val="24"/>
              </w:rPr>
              <w:t>同时支持并提供NAS、IP SAN和FC SAN模式。</w:t>
            </w:r>
            <w:r>
              <w:rPr>
                <w:rFonts w:cs="宋体" w:asciiTheme="minorEastAsia" w:hAnsiTheme="minorEastAsia"/>
                <w:kern w:val="0"/>
                <w:sz w:val="24"/>
                <w:szCs w:val="24"/>
              </w:rPr>
              <w:t>统一存储池架构支持LUN、VVOLs及NAS 服务器，分别提供数据块和文件访问服务；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cs="Arial" w:asciiTheme="minorEastAsia" w:hAnsiTheme="minorEastAsia"/>
                <w:sz w:val="24"/>
                <w:szCs w:val="24"/>
              </w:rPr>
              <w:t>3</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控制器</w:t>
            </w:r>
          </w:p>
        </w:tc>
        <w:tc>
          <w:tcPr>
            <w:tcW w:w="6579" w:type="dxa"/>
            <w:vAlign w:val="center"/>
          </w:tcPr>
          <w:p>
            <w:pPr>
              <w:rPr>
                <w:rFonts w:cs="宋体" w:asciiTheme="minorEastAsia" w:hAnsiTheme="minorEastAsia"/>
                <w:bCs/>
                <w:color w:val="000000" w:themeColor="text1"/>
                <w:sz w:val="24"/>
                <w:szCs w:val="24"/>
              </w:rPr>
            </w:pPr>
            <w:r>
              <w:rPr>
                <w:rFonts w:cs="宋体" w:asciiTheme="minorEastAsia" w:hAnsiTheme="minorEastAsia"/>
                <w:bCs/>
                <w:sz w:val="24"/>
                <w:szCs w:val="24"/>
              </w:rPr>
              <w:t>控制器部件全冗余，</w:t>
            </w:r>
            <w:r>
              <w:rPr>
                <w:rFonts w:hint="eastAsia" w:cs="宋体" w:asciiTheme="minorEastAsia" w:hAnsiTheme="minorEastAsia"/>
                <w:bCs/>
                <w:sz w:val="24"/>
                <w:szCs w:val="24"/>
              </w:rPr>
              <w:t>配置</w:t>
            </w:r>
            <w:r>
              <w:rPr>
                <w:rFonts w:cs="宋体" w:asciiTheme="minorEastAsia" w:hAnsiTheme="minorEastAsia"/>
                <w:bCs/>
                <w:sz w:val="24"/>
                <w:szCs w:val="24"/>
              </w:rPr>
              <w:t>NAS</w:t>
            </w:r>
            <w:r>
              <w:rPr>
                <w:rFonts w:hint="eastAsia" w:cs="宋体" w:asciiTheme="minorEastAsia" w:hAnsiTheme="minorEastAsia"/>
                <w:bCs/>
                <w:sz w:val="24"/>
                <w:szCs w:val="24"/>
              </w:rPr>
              <w:t>和SAN</w:t>
            </w:r>
            <w:r>
              <w:rPr>
                <w:rFonts w:cs="宋体" w:asciiTheme="minorEastAsia" w:hAnsiTheme="minorEastAsia"/>
                <w:bCs/>
                <w:sz w:val="24"/>
                <w:szCs w:val="24"/>
              </w:rPr>
              <w:t>数据访问服务，多个控</w:t>
            </w:r>
            <w:r>
              <w:rPr>
                <w:rFonts w:cs="宋体" w:asciiTheme="minorEastAsia" w:hAnsiTheme="minorEastAsia"/>
                <w:bCs/>
                <w:color w:val="000000" w:themeColor="text1"/>
                <w:sz w:val="24"/>
                <w:szCs w:val="24"/>
              </w:rPr>
              <w:t>制器能同时访问同一个份数据单元（LUN）。</w:t>
            </w:r>
          </w:p>
          <w:p>
            <w:pPr>
              <w:rPr>
                <w:rFonts w:cs="宋体" w:asciiTheme="minorEastAsia" w:hAnsiTheme="minorEastAsia"/>
                <w:bCs/>
                <w:sz w:val="24"/>
                <w:szCs w:val="24"/>
              </w:rPr>
            </w:pPr>
            <w:r>
              <w:rPr>
                <w:rFonts w:cs="宋体" w:asciiTheme="minorEastAsia" w:hAnsiTheme="minorEastAsia"/>
                <w:bCs/>
                <w:color w:val="000000" w:themeColor="text1"/>
                <w:sz w:val="24"/>
                <w:szCs w:val="24"/>
              </w:rPr>
              <w:t>配置控制器数量≥2个；每控制器配置Intel Xeon</w:t>
            </w:r>
            <w:r>
              <w:rPr>
                <w:rFonts w:hint="eastAsia" w:cs="宋体" w:asciiTheme="minorEastAsia" w:hAnsiTheme="minorEastAsia"/>
                <w:bCs/>
                <w:color w:val="000000" w:themeColor="text1"/>
                <w:sz w:val="24"/>
                <w:szCs w:val="24"/>
              </w:rPr>
              <w:t>十核E5</w:t>
            </w:r>
            <w:r>
              <w:rPr>
                <w:rFonts w:cs="宋体" w:asciiTheme="minorEastAsia" w:hAnsiTheme="minorEastAsia"/>
                <w:bCs/>
                <w:color w:val="000000" w:themeColor="text1"/>
                <w:sz w:val="24"/>
                <w:szCs w:val="24"/>
              </w:rPr>
              <w:t>处理器，主频≥</w:t>
            </w:r>
            <w:r>
              <w:rPr>
                <w:rFonts w:hint="eastAsia" w:cs="宋体" w:asciiTheme="minorEastAsia" w:hAnsiTheme="minorEastAsia"/>
                <w:bCs/>
                <w:color w:val="000000" w:themeColor="text1"/>
                <w:sz w:val="24"/>
                <w:szCs w:val="24"/>
              </w:rPr>
              <w:t>2.6</w:t>
            </w:r>
            <w:r>
              <w:rPr>
                <w:rFonts w:cs="宋体" w:asciiTheme="minorEastAsia" w:hAnsiTheme="minorEastAsia"/>
                <w:bCs/>
                <w:color w:val="000000" w:themeColor="text1"/>
                <w:sz w:val="24"/>
                <w:szCs w:val="24"/>
              </w:rPr>
              <w:t>GHz；</w:t>
            </w:r>
            <w:r>
              <w:rPr>
                <w:rFonts w:hint="eastAsia" w:cs="宋体" w:asciiTheme="minorEastAsia" w:hAnsiTheme="minorEastAsia"/>
                <w:bCs/>
                <w:sz w:val="24"/>
                <w:szCs w:val="24"/>
              </w:rPr>
              <w:t>（SAN和NAS功能可以由不同的控制器完成,但是要求SAN和NAS控制器都是冗余的）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cs="Arial" w:asciiTheme="minorEastAsia" w:hAnsiTheme="minorEastAsia"/>
                <w:sz w:val="24"/>
                <w:szCs w:val="24"/>
              </w:rPr>
              <w:t>4</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缓存</w:t>
            </w:r>
          </w:p>
        </w:tc>
        <w:tc>
          <w:tcPr>
            <w:tcW w:w="6579" w:type="dxa"/>
            <w:vAlign w:val="center"/>
          </w:tcPr>
          <w:p>
            <w:pPr>
              <w:rPr>
                <w:rFonts w:cs="宋体" w:asciiTheme="minorEastAsia" w:hAnsiTheme="minorEastAsia"/>
                <w:bCs/>
                <w:sz w:val="24"/>
                <w:szCs w:val="24"/>
              </w:rPr>
            </w:pPr>
            <w:r>
              <w:rPr>
                <w:rFonts w:cs="宋体" w:asciiTheme="minorEastAsia" w:hAnsiTheme="minorEastAsia"/>
                <w:bCs/>
                <w:sz w:val="24"/>
                <w:szCs w:val="24"/>
              </w:rPr>
              <w:t>配置高速缓存≥</w:t>
            </w:r>
            <w:r>
              <w:rPr>
                <w:rFonts w:hint="eastAsia" w:cs="宋体" w:asciiTheme="minorEastAsia" w:hAnsiTheme="minorEastAsia"/>
                <w:bCs/>
                <w:sz w:val="24"/>
                <w:szCs w:val="24"/>
              </w:rPr>
              <w:t>128</w:t>
            </w:r>
            <w:r>
              <w:rPr>
                <w:rFonts w:cs="宋体" w:asciiTheme="minorEastAsia" w:hAnsiTheme="minorEastAsia"/>
                <w:bCs/>
                <w:sz w:val="24"/>
                <w:szCs w:val="24"/>
              </w:rPr>
              <w:t>GB</w:t>
            </w:r>
            <w:r>
              <w:rPr>
                <w:rFonts w:hint="eastAsia" w:cs="宋体" w:asciiTheme="minorEastAsia" w:hAnsiTheme="minorEastAsia"/>
                <w:bCs/>
                <w:sz w:val="24"/>
                <w:szCs w:val="24"/>
              </w:rPr>
              <w:t>（专用缓存，非闪存加速卡等）</w:t>
            </w:r>
            <w:r>
              <w:rPr>
                <w:rFonts w:hint="eastAsia" w:cs="Arial Unicode MS" w:asciiTheme="minorEastAsia" w:hAnsiTheme="minorEastAsia"/>
                <w:sz w:val="24"/>
                <w:szCs w:val="24"/>
              </w:rPr>
              <w:t>；支持二级高速缓存≥3.2TB，且二级高速缓存可读可写；</w:t>
            </w:r>
            <w:r>
              <w:rPr>
                <w:rFonts w:cs="宋体" w:asciiTheme="minorEastAsia" w:hAnsiTheme="minorEastAsia"/>
                <w:bCs/>
                <w:sz w:val="24"/>
                <w:szCs w:val="24"/>
              </w:rPr>
              <w:t>支持写缓存镜像保护和掉电保护；掉电情况下，缓存数据需写到磁盘，保证写缓存数据永久不丢失。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cs="Arial" w:asciiTheme="minorEastAsia" w:hAnsiTheme="minorEastAsia"/>
                <w:sz w:val="24"/>
                <w:szCs w:val="24"/>
              </w:rPr>
              <w:t>5</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宋体" w:asciiTheme="minorEastAsia" w:hAnsiTheme="minorEastAsia"/>
                <w:kern w:val="0"/>
                <w:sz w:val="24"/>
                <w:szCs w:val="24"/>
              </w:rPr>
              <w:t>磁盘存储</w:t>
            </w:r>
          </w:p>
        </w:tc>
        <w:tc>
          <w:tcPr>
            <w:tcW w:w="6579" w:type="dxa"/>
            <w:vAlign w:val="center"/>
          </w:tcPr>
          <w:p>
            <w:pPr>
              <w:rPr>
                <w:rFonts w:cs="Arial Unicode MS" w:asciiTheme="minorEastAsia" w:hAnsiTheme="minorEastAsia"/>
                <w:sz w:val="24"/>
                <w:szCs w:val="24"/>
              </w:rPr>
            </w:pPr>
            <w:r>
              <w:rPr>
                <w:rFonts w:cs="Arial Unicode MS" w:asciiTheme="minorEastAsia" w:hAnsiTheme="minorEastAsia"/>
                <w:sz w:val="24"/>
                <w:szCs w:val="24"/>
              </w:rPr>
              <w:t>配置≥</w:t>
            </w:r>
            <w:r>
              <w:rPr>
                <w:rFonts w:hint="eastAsia" w:cs="Arial Unicode MS" w:asciiTheme="minorEastAsia" w:hAnsiTheme="minorEastAsia"/>
                <w:sz w:val="24"/>
                <w:szCs w:val="24"/>
              </w:rPr>
              <w:t>30</w:t>
            </w:r>
            <w:r>
              <w:rPr>
                <w:rFonts w:cs="Arial Unicode MS" w:asciiTheme="minorEastAsia" w:hAnsiTheme="minorEastAsia"/>
                <w:sz w:val="24"/>
                <w:szCs w:val="24"/>
              </w:rPr>
              <w:t>TB</w:t>
            </w:r>
            <w:r>
              <w:rPr>
                <w:rFonts w:hint="eastAsia" w:cs="Arial Unicode MS" w:asciiTheme="minorEastAsia" w:hAnsiTheme="minorEastAsia"/>
                <w:sz w:val="24"/>
                <w:szCs w:val="24"/>
              </w:rPr>
              <w:t>可用空间，配置10块1.6TB SSD或不小于10块等同容量的SSD，配置15块1.8TB SAS盘或不小于15块等同容量的SAS盘；所配置的硬盘支持</w:t>
            </w:r>
            <w:r>
              <w:rPr>
                <w:rFonts w:cs="Arial Unicode MS" w:asciiTheme="minorEastAsia" w:hAnsiTheme="minorEastAsia"/>
                <w:sz w:val="24"/>
                <w:szCs w:val="24"/>
              </w:rPr>
              <w:t>热插拔；支持磁盘数量可扩展至≥</w:t>
            </w:r>
            <w:r>
              <w:rPr>
                <w:rFonts w:hint="eastAsia" w:cs="Arial Unicode MS" w:asciiTheme="minorEastAsia" w:hAnsiTheme="minorEastAsia"/>
                <w:sz w:val="24"/>
                <w:szCs w:val="24"/>
              </w:rPr>
              <w:t>50</w:t>
            </w:r>
            <w:r>
              <w:rPr>
                <w:rFonts w:cs="Arial Unicode MS" w:asciiTheme="minorEastAsia" w:hAnsiTheme="minorEastAsia"/>
                <w:sz w:val="24"/>
                <w:szCs w:val="24"/>
              </w:rPr>
              <w:t>0块，支持多种RAID保护方式。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blHeader/>
          <w:jc w:val="center"/>
        </w:trPr>
        <w:tc>
          <w:tcPr>
            <w:tcW w:w="893" w:type="dxa"/>
            <w:vAlign w:val="center"/>
          </w:tcPr>
          <w:p>
            <w:pPr>
              <w:jc w:val="center"/>
              <w:rPr>
                <w:rFonts w:cs="Arial" w:asciiTheme="minorEastAsia" w:hAnsiTheme="minorEastAsia"/>
                <w:sz w:val="24"/>
                <w:szCs w:val="24"/>
              </w:rPr>
            </w:pPr>
            <w:r>
              <w:rPr>
                <w:rFonts w:cs="Arial" w:asciiTheme="minorEastAsia" w:hAnsiTheme="minorEastAsia"/>
                <w:sz w:val="24"/>
                <w:szCs w:val="24"/>
              </w:rPr>
              <w:t>6</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前端端口</w:t>
            </w:r>
          </w:p>
        </w:tc>
        <w:tc>
          <w:tcPr>
            <w:tcW w:w="6579" w:type="dxa"/>
            <w:vAlign w:val="center"/>
          </w:tcPr>
          <w:p>
            <w:pPr>
              <w:rPr>
                <w:rFonts w:cs="Arial Unicode MS" w:asciiTheme="minorEastAsia" w:hAnsiTheme="minorEastAsia"/>
                <w:sz w:val="24"/>
                <w:szCs w:val="24"/>
              </w:rPr>
            </w:pPr>
            <w:r>
              <w:rPr>
                <w:rFonts w:cs="Arial Unicode MS" w:asciiTheme="minorEastAsia" w:hAnsiTheme="minorEastAsia"/>
                <w:sz w:val="24"/>
                <w:szCs w:val="24"/>
              </w:rPr>
              <w:t>本次配置4个16Gbps FC</w:t>
            </w:r>
            <w:r>
              <w:rPr>
                <w:rFonts w:hint="eastAsia" w:cs="Arial Unicode MS" w:asciiTheme="minorEastAsia" w:hAnsiTheme="minorEastAsia"/>
                <w:sz w:val="24"/>
                <w:szCs w:val="24"/>
              </w:rPr>
              <w:t>用于</w:t>
            </w:r>
            <w:r>
              <w:rPr>
                <w:rFonts w:cs="Arial Unicode MS" w:asciiTheme="minorEastAsia" w:hAnsiTheme="minorEastAsia"/>
                <w:sz w:val="24"/>
                <w:szCs w:val="24"/>
              </w:rPr>
              <w:t>SAN</w:t>
            </w:r>
            <w:r>
              <w:rPr>
                <w:rFonts w:hint="eastAsia" w:cs="Arial Unicode MS" w:asciiTheme="minorEastAsia" w:hAnsiTheme="minorEastAsia"/>
                <w:sz w:val="24"/>
                <w:szCs w:val="24"/>
              </w:rPr>
              <w:t>和4个10</w:t>
            </w:r>
            <w:r>
              <w:rPr>
                <w:rFonts w:cs="Arial Unicode MS" w:asciiTheme="minorEastAsia" w:hAnsiTheme="minorEastAsia"/>
                <w:sz w:val="24"/>
                <w:szCs w:val="24"/>
              </w:rPr>
              <w:t>Gbps</w:t>
            </w:r>
            <w:r>
              <w:rPr>
                <w:rFonts w:hint="eastAsia" w:cs="Arial Unicode MS" w:asciiTheme="minorEastAsia" w:hAnsiTheme="minorEastAsia"/>
                <w:sz w:val="24"/>
                <w:szCs w:val="24"/>
              </w:rPr>
              <w:t>以太口端口用于NAS或iSCSI</w:t>
            </w:r>
            <w:r>
              <w:rPr>
                <w:rFonts w:cs="Arial Unicode MS"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7</w:t>
            </w:r>
          </w:p>
        </w:tc>
        <w:tc>
          <w:tcPr>
            <w:tcW w:w="1634" w:type="dxa"/>
            <w:vAlign w:val="center"/>
          </w:tcPr>
          <w:p>
            <w:pPr>
              <w:rPr>
                <w:rFonts w:cs="宋体" w:asciiTheme="minorEastAsia" w:hAnsiTheme="minorEastAsia"/>
                <w:bCs/>
                <w:sz w:val="24"/>
                <w:szCs w:val="24"/>
              </w:rPr>
            </w:pPr>
            <w:r>
              <w:rPr>
                <w:rFonts w:hint="eastAsia" w:asciiTheme="minorEastAsia" w:hAnsiTheme="minorEastAsia"/>
                <w:sz w:val="24"/>
                <w:szCs w:val="24"/>
              </w:rPr>
              <w:t>★</w:t>
            </w:r>
            <w:r>
              <w:rPr>
                <w:rFonts w:hint="eastAsia" w:cs="宋体" w:asciiTheme="minorEastAsia" w:hAnsiTheme="minorEastAsia"/>
                <w:bCs/>
                <w:sz w:val="24"/>
                <w:szCs w:val="24"/>
              </w:rPr>
              <w:t>数据分层功能</w:t>
            </w:r>
          </w:p>
        </w:tc>
        <w:tc>
          <w:tcPr>
            <w:tcW w:w="6579" w:type="dxa"/>
          </w:tcPr>
          <w:p>
            <w:pPr>
              <w:rPr>
                <w:rFonts w:asciiTheme="minorEastAsia" w:hAnsiTheme="minorEastAsia"/>
                <w:sz w:val="24"/>
                <w:szCs w:val="24"/>
              </w:rPr>
            </w:pPr>
            <w:r>
              <w:rPr>
                <w:rFonts w:hint="eastAsia" w:asciiTheme="minorEastAsia" w:hAnsiTheme="minorEastAsia"/>
                <w:sz w:val="24"/>
                <w:szCs w:val="24"/>
              </w:rPr>
              <w:t>配置自动存储分层软件及许可。根据数据的活动状况，自动将活动数据调整到高速磁盘上，将非活动数据放置到大容量磁盘上；可设置迁移策略和指定数据的初始位置；迁移过程多主机透明，无需停机；迁移层数≥3层（SSD，SAS，NL_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8</w:t>
            </w:r>
          </w:p>
        </w:tc>
        <w:tc>
          <w:tcPr>
            <w:tcW w:w="1634" w:type="dxa"/>
            <w:vAlign w:val="center"/>
          </w:tcPr>
          <w:p>
            <w:pPr>
              <w:rPr>
                <w:rFonts w:cs="宋体" w:asciiTheme="minorEastAsia" w:hAnsiTheme="minorEastAsia"/>
                <w:bCs/>
                <w:sz w:val="24"/>
                <w:szCs w:val="24"/>
              </w:rPr>
            </w:pPr>
            <w:r>
              <w:rPr>
                <w:rFonts w:hint="eastAsia" w:asciiTheme="minorEastAsia" w:hAnsiTheme="minorEastAsia"/>
                <w:sz w:val="24"/>
                <w:szCs w:val="24"/>
              </w:rPr>
              <w:t>★</w:t>
            </w:r>
            <w:r>
              <w:rPr>
                <w:rFonts w:cs="宋体" w:asciiTheme="minorEastAsia" w:hAnsiTheme="minorEastAsia"/>
                <w:bCs/>
                <w:sz w:val="24"/>
                <w:szCs w:val="24"/>
              </w:rPr>
              <w:t>数据迁移功能</w:t>
            </w:r>
          </w:p>
        </w:tc>
        <w:tc>
          <w:tcPr>
            <w:tcW w:w="6579" w:type="dxa"/>
          </w:tcPr>
          <w:p>
            <w:pPr>
              <w:rPr>
                <w:rFonts w:cs="宋体" w:asciiTheme="minorEastAsia" w:hAnsiTheme="minorEastAsia"/>
                <w:bCs/>
                <w:sz w:val="24"/>
                <w:szCs w:val="24"/>
              </w:rPr>
            </w:pPr>
            <w:r>
              <w:rPr>
                <w:rFonts w:cs="宋体" w:asciiTheme="minorEastAsia" w:hAnsiTheme="minorEastAsia"/>
                <w:bCs/>
                <w:sz w:val="24"/>
                <w:szCs w:val="24"/>
              </w:rPr>
              <w:t>配置具有内部数据迁移功能的软件；基于存储系统本身的控制器实现数据在不同逻辑卷之间、不同RAID类型的卷之间数据迁移，且无需中断应用访问；提供迁移工具，将存储系统中的数据在不同厂商的磁盘阵列中进行数据迁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9</w:t>
            </w:r>
          </w:p>
        </w:tc>
        <w:tc>
          <w:tcPr>
            <w:tcW w:w="1634"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cs="Arial" w:asciiTheme="minorEastAsia" w:hAnsiTheme="minorEastAsia"/>
                <w:sz w:val="24"/>
                <w:szCs w:val="24"/>
              </w:rPr>
              <w:t>灾难恢复功能</w:t>
            </w:r>
          </w:p>
        </w:tc>
        <w:tc>
          <w:tcPr>
            <w:tcW w:w="6579" w:type="dxa"/>
            <w:vAlign w:val="center"/>
          </w:tcPr>
          <w:p>
            <w:pPr>
              <w:rPr>
                <w:rFonts w:cs="Arial" w:asciiTheme="minorEastAsia" w:hAnsiTheme="minorEastAsia"/>
                <w:sz w:val="24"/>
                <w:szCs w:val="24"/>
              </w:rPr>
            </w:pPr>
            <w:r>
              <w:rPr>
                <w:rFonts w:cs="宋体" w:asciiTheme="minorEastAsia" w:hAnsiTheme="minorEastAsia"/>
                <w:bCs/>
                <w:sz w:val="24"/>
                <w:szCs w:val="24"/>
              </w:rPr>
              <w:t>配置本地快照及本地克隆技术；</w:t>
            </w:r>
            <w:r>
              <w:rPr>
                <w:rFonts w:hint="eastAsia" w:cs="Arial" w:asciiTheme="minorEastAsia" w:hAnsiTheme="minorEastAsia"/>
                <w:sz w:val="24"/>
                <w:szCs w:val="24"/>
              </w:rPr>
              <w:t>配置</w:t>
            </w:r>
            <w:r>
              <w:rPr>
                <w:rFonts w:cs="Arial" w:asciiTheme="minorEastAsia" w:hAnsiTheme="minorEastAsia"/>
                <w:sz w:val="24"/>
                <w:szCs w:val="24"/>
              </w:rPr>
              <w:t>基于数据块级远程复制功能，以实现基于存储设备的灾备数据复制及恢复。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10</w:t>
            </w:r>
          </w:p>
        </w:tc>
        <w:tc>
          <w:tcPr>
            <w:tcW w:w="1634" w:type="dxa"/>
            <w:vAlign w:val="center"/>
          </w:tcPr>
          <w:p>
            <w:pPr>
              <w:rPr>
                <w:rFonts w:cs="Arial" w:asciiTheme="minorEastAsia" w:hAnsiTheme="minorEastAsia"/>
                <w:sz w:val="24"/>
                <w:szCs w:val="24"/>
              </w:rPr>
            </w:pPr>
            <w:r>
              <w:rPr>
                <w:rFonts w:cs="Arial" w:asciiTheme="minorEastAsia" w:hAnsiTheme="minorEastAsia"/>
                <w:sz w:val="24"/>
                <w:szCs w:val="24"/>
              </w:rPr>
              <w:t>虚拟环境的集成</w:t>
            </w:r>
          </w:p>
        </w:tc>
        <w:tc>
          <w:tcPr>
            <w:tcW w:w="6579" w:type="dxa"/>
            <w:vAlign w:val="center"/>
          </w:tcPr>
          <w:p>
            <w:pPr>
              <w:rPr>
                <w:rFonts w:cs="Arial" w:asciiTheme="minorEastAsia" w:hAnsiTheme="minorEastAsia"/>
                <w:sz w:val="24"/>
                <w:szCs w:val="24"/>
              </w:rPr>
            </w:pPr>
            <w:r>
              <w:rPr>
                <w:rFonts w:cs="Arial" w:asciiTheme="minorEastAsia" w:hAnsiTheme="minorEastAsia"/>
                <w:sz w:val="24"/>
                <w:szCs w:val="24"/>
              </w:rPr>
              <w:t>支持VAAI，VASA功能，VAAI支持包括：硬件Zero Copy，硬件 Lock Reservation，硬件Accelerated Copy；</w:t>
            </w:r>
          </w:p>
          <w:p>
            <w:pPr>
              <w:rPr>
                <w:rFonts w:cs="Arial" w:asciiTheme="minorEastAsia" w:hAnsiTheme="minorEastAsia"/>
                <w:sz w:val="24"/>
                <w:szCs w:val="24"/>
              </w:rPr>
            </w:pPr>
            <w:r>
              <w:rPr>
                <w:rFonts w:hint="eastAsia" w:cs="宋体" w:asciiTheme="minorEastAsia" w:hAnsiTheme="minorEastAsia"/>
                <w:kern w:val="0"/>
                <w:sz w:val="24"/>
                <w:szCs w:val="24"/>
              </w:rPr>
              <w:t>报价</w:t>
            </w:r>
            <w:r>
              <w:rPr>
                <w:rFonts w:cs="宋体" w:asciiTheme="minorEastAsia" w:hAnsiTheme="minorEastAsia"/>
                <w:kern w:val="0"/>
                <w:sz w:val="24"/>
                <w:szCs w:val="24"/>
              </w:rPr>
              <w:t>时提供VMware，</w:t>
            </w:r>
            <w:r>
              <w:rPr>
                <w:rFonts w:cs="Arial" w:asciiTheme="minorEastAsia" w:hAnsiTheme="minorEastAsia"/>
                <w:sz w:val="24"/>
                <w:szCs w:val="24"/>
              </w:rPr>
              <w:t>支持SRM功能，能够提供Failover，Failback 功能；支持VVOLs；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93"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11</w:t>
            </w:r>
          </w:p>
        </w:tc>
        <w:tc>
          <w:tcPr>
            <w:tcW w:w="1634" w:type="dxa"/>
            <w:vAlign w:val="center"/>
          </w:tcPr>
          <w:p>
            <w:pPr>
              <w:rPr>
                <w:rFonts w:cs="Arial" w:asciiTheme="minorEastAsia" w:hAnsiTheme="minorEastAsia"/>
                <w:sz w:val="24"/>
                <w:szCs w:val="24"/>
              </w:rPr>
            </w:pPr>
            <w:r>
              <w:rPr>
                <w:rFonts w:cs="Arial" w:asciiTheme="minorEastAsia" w:hAnsiTheme="minorEastAsia"/>
                <w:sz w:val="24"/>
                <w:szCs w:val="24"/>
              </w:rPr>
              <w:t>★服务与授权</w:t>
            </w:r>
          </w:p>
        </w:tc>
        <w:tc>
          <w:tcPr>
            <w:tcW w:w="6579" w:type="dxa"/>
            <w:vAlign w:val="center"/>
          </w:tcPr>
          <w:p>
            <w:pPr>
              <w:widowControl/>
              <w:jc w:val="left"/>
              <w:rPr>
                <w:rFonts w:cs="宋体" w:asciiTheme="minorEastAsia" w:hAnsiTheme="minorEastAsia"/>
                <w:kern w:val="0"/>
                <w:sz w:val="24"/>
                <w:szCs w:val="24"/>
              </w:rPr>
            </w:pPr>
            <w:r>
              <w:rPr>
                <w:rFonts w:hint="eastAsia" w:cs="Calibri" w:asciiTheme="minorEastAsia" w:hAnsiTheme="minorEastAsia"/>
                <w:sz w:val="24"/>
                <w:szCs w:val="24"/>
              </w:rPr>
              <w:t>报价时</w:t>
            </w:r>
            <w:r>
              <w:rPr>
                <w:rFonts w:cs="Calibri" w:asciiTheme="minorEastAsia" w:hAnsiTheme="minorEastAsia"/>
                <w:sz w:val="24"/>
                <w:szCs w:val="24"/>
              </w:rPr>
              <w:t>提供原厂针对本项目的</w:t>
            </w:r>
            <w:r>
              <w:rPr>
                <w:rFonts w:hint="eastAsia" w:asciiTheme="minorEastAsia" w:hAnsiTheme="minorEastAsia"/>
                <w:sz w:val="24"/>
                <w:szCs w:val="24"/>
              </w:rPr>
              <w:t>授权函和服务承诺函</w:t>
            </w:r>
            <w:r>
              <w:rPr>
                <w:rFonts w:cs="Calibri" w:asciiTheme="minorEastAsia" w:hAnsiTheme="minorEastAsia"/>
                <w:sz w:val="24"/>
                <w:szCs w:val="24"/>
              </w:rPr>
              <w:t>。提供原厂7×24小时,4小时响应服务</w:t>
            </w:r>
            <w:r>
              <w:rPr>
                <w:rFonts w:hint="eastAsia" w:cs="Calibri" w:asciiTheme="minorEastAsia" w:hAnsiTheme="minorEastAsia"/>
                <w:sz w:val="24"/>
                <w:szCs w:val="24"/>
              </w:rPr>
              <w:t>,不少于3年原厂售后服务</w:t>
            </w:r>
            <w:r>
              <w:rPr>
                <w:rFonts w:cs="Calibri" w:asciiTheme="minorEastAsia" w:hAnsiTheme="minorEastAsia"/>
                <w:sz w:val="24"/>
                <w:szCs w:val="24"/>
              </w:rPr>
              <w:t>。</w:t>
            </w:r>
          </w:p>
        </w:tc>
      </w:tr>
    </w:tbl>
    <w:p/>
    <w:p>
      <w:pPr>
        <w:pStyle w:val="3"/>
        <w:rPr>
          <w:rFonts w:asciiTheme="minorEastAsia" w:hAnsiTheme="minorEastAsia"/>
          <w:sz w:val="28"/>
          <w:szCs w:val="28"/>
        </w:rPr>
      </w:pPr>
      <w:r>
        <w:rPr>
          <w:rFonts w:hint="eastAsia" w:asciiTheme="minorEastAsia" w:hAnsiTheme="minorEastAsia"/>
          <w:sz w:val="28"/>
          <w:szCs w:val="28"/>
        </w:rPr>
        <w:t>4.14洪泉医院影像存储设备（数量：1台）</w:t>
      </w:r>
    </w:p>
    <w:tbl>
      <w:tblPr>
        <w:tblStyle w:val="10"/>
        <w:tblW w:w="8832" w:type="dxa"/>
        <w:jc w:val="center"/>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481"/>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blHeader/>
          <w:jc w:val="center"/>
        </w:trPr>
        <w:tc>
          <w:tcPr>
            <w:tcW w:w="830"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序号</w:t>
            </w:r>
          </w:p>
        </w:tc>
        <w:tc>
          <w:tcPr>
            <w:tcW w:w="148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技术指标</w:t>
            </w:r>
          </w:p>
        </w:tc>
        <w:tc>
          <w:tcPr>
            <w:tcW w:w="6521" w:type="dxa"/>
            <w:vAlign w:val="center"/>
          </w:tcPr>
          <w:p>
            <w:pPr>
              <w:jc w:val="center"/>
              <w:rPr>
                <w:rFonts w:cs="Arial Unicode MS" w:asciiTheme="minorEastAsia" w:hAnsiTheme="minorEastAsia"/>
                <w:b/>
                <w:sz w:val="24"/>
                <w:szCs w:val="24"/>
              </w:rPr>
            </w:pPr>
            <w:r>
              <w:rPr>
                <w:rFonts w:hint="eastAsia" w:cs="Arial Unicode MS" w:asciiTheme="minorEastAsia" w:hAnsiTheme="minorEastAsia"/>
                <w:b/>
                <w:sz w:val="24"/>
                <w:szCs w:val="24"/>
              </w:rPr>
              <w:t>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blHeader/>
          <w:jc w:val="center"/>
        </w:trPr>
        <w:tc>
          <w:tcPr>
            <w:tcW w:w="830" w:type="dxa"/>
            <w:vAlign w:val="center"/>
          </w:tcPr>
          <w:p>
            <w:pPr>
              <w:jc w:val="center"/>
              <w:rPr>
                <w:rFonts w:cs="Arial" w:asciiTheme="minorEastAsia" w:hAnsiTheme="minorEastAsia"/>
                <w:sz w:val="24"/>
                <w:szCs w:val="24"/>
              </w:rPr>
            </w:pPr>
            <w:r>
              <w:rPr>
                <w:rFonts w:cs="Arial" w:asciiTheme="minorEastAsia" w:hAnsiTheme="minorEastAsia"/>
                <w:sz w:val="24"/>
                <w:szCs w:val="24"/>
              </w:rPr>
              <w:t>1</w:t>
            </w:r>
          </w:p>
        </w:tc>
        <w:tc>
          <w:tcPr>
            <w:tcW w:w="1481" w:type="dxa"/>
            <w:vAlign w:val="center"/>
          </w:tcPr>
          <w:p>
            <w:pPr>
              <w:rPr>
                <w:rFonts w:cs="Arial" w:asciiTheme="minorEastAsia" w:hAnsiTheme="minorEastAsia"/>
                <w:sz w:val="24"/>
                <w:szCs w:val="24"/>
              </w:rPr>
            </w:pPr>
            <w:r>
              <w:rPr>
                <w:rFonts w:hint="eastAsia" w:asciiTheme="minorEastAsia" w:hAnsiTheme="minorEastAsia"/>
                <w:sz w:val="24"/>
                <w:szCs w:val="24"/>
              </w:rPr>
              <w:t>★</w:t>
            </w:r>
            <w:r>
              <w:rPr>
                <w:rFonts w:hint="eastAsia" w:cs="Arial" w:asciiTheme="minorEastAsia" w:hAnsiTheme="minorEastAsia"/>
                <w:sz w:val="24"/>
                <w:szCs w:val="24"/>
              </w:rPr>
              <w:t>架构设计</w:t>
            </w:r>
          </w:p>
        </w:tc>
        <w:tc>
          <w:tcPr>
            <w:tcW w:w="6521" w:type="dxa"/>
            <w:vAlign w:val="center"/>
          </w:tcPr>
          <w:p>
            <w:pPr>
              <w:rPr>
                <w:rFonts w:cs="Arial" w:asciiTheme="minorEastAsia" w:hAnsiTheme="minorEastAsia"/>
                <w:sz w:val="24"/>
                <w:szCs w:val="24"/>
              </w:rPr>
            </w:pPr>
            <w:r>
              <w:rPr>
                <w:rFonts w:hint="eastAsia" w:cs="Arial Unicode MS" w:asciiTheme="minorEastAsia" w:hAnsiTheme="minorEastAsia"/>
                <w:sz w:val="24"/>
                <w:szCs w:val="24"/>
              </w:rPr>
              <w:t>报价产品型号必须为主流型号，</w:t>
            </w:r>
            <w:r>
              <w:rPr>
                <w:rFonts w:cs="Arial Unicode MS" w:asciiTheme="minorEastAsia" w:hAnsiTheme="minorEastAsia"/>
                <w:sz w:val="24"/>
                <w:szCs w:val="24"/>
              </w:rPr>
              <w:t>非OEM或贴牌产品，设备原厂商在中国设有研发中心或本土企业，商务处理流程及时，到货快捷。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cs="Arial" w:asciiTheme="minorEastAsia" w:hAnsiTheme="minorEastAsia"/>
                <w:sz w:val="24"/>
                <w:szCs w:val="24"/>
              </w:rPr>
              <w:t>2</w:t>
            </w:r>
          </w:p>
        </w:tc>
        <w:tc>
          <w:tcPr>
            <w:tcW w:w="1481" w:type="dxa"/>
            <w:vAlign w:val="center"/>
          </w:tcPr>
          <w:p>
            <w:pPr>
              <w:rPr>
                <w:rFonts w:cs="Arial" w:asciiTheme="minorEastAsia" w:hAnsiTheme="minorEastAsia"/>
                <w:sz w:val="24"/>
                <w:szCs w:val="24"/>
              </w:rPr>
            </w:pPr>
            <w:r>
              <w:rPr>
                <w:rFonts w:hint="eastAsia" w:cs="Arial" w:asciiTheme="minorEastAsia" w:hAnsiTheme="minorEastAsia"/>
                <w:sz w:val="24"/>
                <w:szCs w:val="24"/>
              </w:rPr>
              <w:t>★</w:t>
            </w:r>
            <w:r>
              <w:rPr>
                <w:rFonts w:cs="Arial" w:asciiTheme="minorEastAsia" w:hAnsiTheme="minorEastAsia"/>
                <w:sz w:val="24"/>
                <w:szCs w:val="24"/>
              </w:rPr>
              <w:t>体系结构</w:t>
            </w:r>
          </w:p>
        </w:tc>
        <w:tc>
          <w:tcPr>
            <w:tcW w:w="6521" w:type="dxa"/>
            <w:vAlign w:val="center"/>
          </w:tcPr>
          <w:p>
            <w:pPr>
              <w:rPr>
                <w:rFonts w:cs="Arial" w:asciiTheme="minorEastAsia" w:hAnsiTheme="minorEastAsia"/>
                <w:sz w:val="24"/>
                <w:szCs w:val="24"/>
              </w:rPr>
            </w:pPr>
            <w:r>
              <w:rPr>
                <w:rFonts w:cs="Arial" w:asciiTheme="minorEastAsia" w:hAnsiTheme="minorEastAsia"/>
                <w:sz w:val="24"/>
                <w:szCs w:val="24"/>
              </w:rPr>
              <w:t>全对称全冗余架构，全Active并行集群模式，无需增加专门的元数据管理节点或管理服务器；采用横向扩展集群NAS,最大支持</w:t>
            </w:r>
            <w:r>
              <w:rPr>
                <w:rFonts w:hint="eastAsia" w:cs="Arial" w:asciiTheme="minorEastAsia" w:hAnsiTheme="minorEastAsia"/>
                <w:sz w:val="24"/>
                <w:szCs w:val="24"/>
              </w:rPr>
              <w:t>≥</w:t>
            </w:r>
            <w:r>
              <w:rPr>
                <w:rFonts w:cs="Arial" w:asciiTheme="minorEastAsia" w:hAnsiTheme="minorEastAsia"/>
                <w:sz w:val="24"/>
                <w:szCs w:val="24"/>
              </w:rPr>
              <w:t>1</w:t>
            </w:r>
            <w:r>
              <w:rPr>
                <w:rFonts w:hint="eastAsia" w:cs="Arial" w:asciiTheme="minorEastAsia" w:hAnsiTheme="minorEastAsia"/>
                <w:sz w:val="24"/>
                <w:szCs w:val="24"/>
              </w:rPr>
              <w:t>00</w:t>
            </w:r>
            <w:r>
              <w:rPr>
                <w:rFonts w:cs="Arial" w:asciiTheme="minorEastAsia" w:hAnsiTheme="minorEastAsia"/>
                <w:sz w:val="24"/>
                <w:szCs w:val="24"/>
              </w:rPr>
              <w:t>个NAS</w:t>
            </w:r>
            <w:r>
              <w:rPr>
                <w:rFonts w:hint="eastAsia" w:cs="Arial" w:asciiTheme="minorEastAsia" w:hAnsiTheme="minorEastAsia"/>
                <w:sz w:val="24"/>
                <w:szCs w:val="24"/>
              </w:rPr>
              <w:t>控制器</w:t>
            </w:r>
            <w:r>
              <w:rPr>
                <w:rFonts w:cs="Arial" w:asciiTheme="minorEastAsia" w:hAnsiTheme="minorEastAsia"/>
                <w:sz w:val="24"/>
                <w:szCs w:val="24"/>
              </w:rPr>
              <w:t>。单一文件系统可扩展至60PB以上</w:t>
            </w:r>
            <w:r>
              <w:rPr>
                <w:rFonts w:hint="eastAsia" w:cs="Arial" w:asciiTheme="minorEastAsia" w:hAnsiTheme="minorEastAsia"/>
                <w:sz w:val="24"/>
                <w:szCs w:val="24"/>
              </w:rPr>
              <w:t>，非开源软件+PC服务器搭建而成的存储。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cs="Arial" w:asciiTheme="minorEastAsia" w:hAnsiTheme="minorEastAsia"/>
                <w:sz w:val="24"/>
                <w:szCs w:val="24"/>
              </w:rPr>
              <w:t>3</w:t>
            </w:r>
          </w:p>
        </w:tc>
        <w:tc>
          <w:tcPr>
            <w:tcW w:w="1481" w:type="dxa"/>
          </w:tcPr>
          <w:p>
            <w:pPr>
              <w:rPr>
                <w:rFonts w:cs="Arial" w:asciiTheme="minorEastAsia" w:hAnsiTheme="minorEastAsia"/>
                <w:sz w:val="24"/>
                <w:szCs w:val="24"/>
              </w:rPr>
            </w:pPr>
            <w:r>
              <w:rPr>
                <w:rFonts w:hint="eastAsia" w:cs="Arial" w:asciiTheme="minorEastAsia" w:hAnsiTheme="minorEastAsia"/>
                <w:sz w:val="24"/>
                <w:szCs w:val="24"/>
              </w:rPr>
              <w:t>★访问协议</w:t>
            </w:r>
          </w:p>
        </w:tc>
        <w:tc>
          <w:tcPr>
            <w:tcW w:w="6521" w:type="dxa"/>
          </w:tcPr>
          <w:p>
            <w:pPr>
              <w:rPr>
                <w:rFonts w:cs="Arial" w:asciiTheme="minorEastAsia" w:hAnsiTheme="minorEastAsia"/>
                <w:sz w:val="24"/>
                <w:szCs w:val="24"/>
              </w:rPr>
            </w:pPr>
            <w:r>
              <w:rPr>
                <w:rFonts w:hint="eastAsia" w:cs="Arial" w:asciiTheme="minorEastAsia" w:hAnsiTheme="minorEastAsia"/>
                <w:sz w:val="24"/>
                <w:szCs w:val="24"/>
              </w:rPr>
              <w:t>支持并配置NFS V3/V4、CIFS(SMB1、SMB2)、HTTP, FTP，HDFS， Swift协议，支持支持LDAP/AD/NIS等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cs="Arial" w:asciiTheme="minorEastAsia" w:hAnsiTheme="minorEastAsia"/>
                <w:sz w:val="24"/>
                <w:szCs w:val="24"/>
              </w:rPr>
              <w:t>4</w:t>
            </w:r>
          </w:p>
        </w:tc>
        <w:tc>
          <w:tcPr>
            <w:tcW w:w="1481" w:type="dxa"/>
            <w:vAlign w:val="center"/>
          </w:tcPr>
          <w:p>
            <w:pPr>
              <w:rPr>
                <w:rFonts w:cs="Arial" w:asciiTheme="minorEastAsia" w:hAnsiTheme="minorEastAsia"/>
                <w:sz w:val="24"/>
                <w:szCs w:val="24"/>
              </w:rPr>
            </w:pPr>
            <w:r>
              <w:rPr>
                <w:rFonts w:hint="eastAsia" w:cs="Arial" w:asciiTheme="minorEastAsia" w:hAnsiTheme="minorEastAsia"/>
                <w:sz w:val="24"/>
                <w:szCs w:val="24"/>
              </w:rPr>
              <w:t>★控制器</w:t>
            </w:r>
          </w:p>
        </w:tc>
        <w:tc>
          <w:tcPr>
            <w:tcW w:w="6521" w:type="dxa"/>
            <w:vAlign w:val="center"/>
          </w:tcPr>
          <w:p>
            <w:pPr>
              <w:rPr>
                <w:rFonts w:cs="Arial" w:asciiTheme="minorEastAsia" w:hAnsiTheme="minorEastAsia"/>
                <w:sz w:val="24"/>
                <w:szCs w:val="24"/>
              </w:rPr>
            </w:pPr>
            <w:r>
              <w:rPr>
                <w:rFonts w:hint="eastAsia" w:cs="Arial" w:asciiTheme="minorEastAsia" w:hAnsiTheme="minorEastAsia"/>
                <w:sz w:val="24"/>
                <w:szCs w:val="24"/>
              </w:rPr>
              <w:t>配置≥4</w:t>
            </w:r>
            <w:r>
              <w:rPr>
                <w:rFonts w:cs="Arial" w:asciiTheme="minorEastAsia" w:hAnsiTheme="minorEastAsia"/>
                <w:sz w:val="24"/>
                <w:szCs w:val="24"/>
              </w:rPr>
              <w:t>个</w:t>
            </w:r>
            <w:r>
              <w:rPr>
                <w:rFonts w:hint="eastAsia" w:cs="Arial" w:asciiTheme="minorEastAsia" w:hAnsiTheme="minorEastAsia"/>
                <w:sz w:val="24"/>
                <w:szCs w:val="24"/>
              </w:rPr>
              <w:t>控制器</w:t>
            </w:r>
            <w:r>
              <w:rPr>
                <w:rFonts w:cs="Arial" w:asciiTheme="minorEastAsia" w:hAnsiTheme="minorEastAsia"/>
                <w:sz w:val="24"/>
                <w:szCs w:val="24"/>
              </w:rPr>
              <w:t>，控制器如果和存储单元非一体化设计，则要求1:1配比</w:t>
            </w:r>
            <w:r>
              <w:rPr>
                <w:rFonts w:hint="eastAsia" w:cs="Arial" w:asciiTheme="minorEastAsia" w:hAnsiTheme="minorEastAsia"/>
                <w:sz w:val="24"/>
                <w:szCs w:val="24"/>
              </w:rPr>
              <w:t>，</w:t>
            </w:r>
            <w:r>
              <w:rPr>
                <w:rFonts w:cs="Arial" w:asciiTheme="minorEastAsia" w:hAnsiTheme="minorEastAsia"/>
                <w:sz w:val="24"/>
                <w:szCs w:val="24"/>
              </w:rPr>
              <w:t>每</w:t>
            </w:r>
            <w:r>
              <w:rPr>
                <w:rFonts w:hint="eastAsia" w:cs="Arial" w:asciiTheme="minorEastAsia" w:hAnsiTheme="minorEastAsia"/>
                <w:sz w:val="24"/>
                <w:szCs w:val="24"/>
              </w:rPr>
              <w:t>个控制器缓存≥</w:t>
            </w:r>
            <w:r>
              <w:rPr>
                <w:rFonts w:cs="Arial" w:asciiTheme="minorEastAsia" w:hAnsiTheme="minorEastAsia"/>
                <w:sz w:val="24"/>
                <w:szCs w:val="24"/>
              </w:rPr>
              <w:t>24GB，集群各存储节点全局缓存</w:t>
            </w:r>
            <w:r>
              <w:rPr>
                <w:rFonts w:hint="eastAsia" w:cs="Arial"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cs="Arial" w:asciiTheme="minorEastAsia" w:hAnsiTheme="minorEastAsia"/>
                <w:sz w:val="24"/>
                <w:szCs w:val="24"/>
              </w:rPr>
              <w:t>5</w:t>
            </w:r>
          </w:p>
        </w:tc>
        <w:tc>
          <w:tcPr>
            <w:tcW w:w="1481" w:type="dxa"/>
            <w:vAlign w:val="center"/>
          </w:tcPr>
          <w:p>
            <w:pPr>
              <w:rPr>
                <w:rFonts w:cs="Arial" w:asciiTheme="minorEastAsia" w:hAnsiTheme="minorEastAsia"/>
                <w:sz w:val="24"/>
                <w:szCs w:val="24"/>
              </w:rPr>
            </w:pPr>
            <w:r>
              <w:rPr>
                <w:rFonts w:hint="eastAsia" w:cs="Arial" w:asciiTheme="minorEastAsia" w:hAnsiTheme="minorEastAsia"/>
                <w:sz w:val="24"/>
                <w:szCs w:val="24"/>
              </w:rPr>
              <w:t>★前后端接口</w:t>
            </w:r>
          </w:p>
        </w:tc>
        <w:tc>
          <w:tcPr>
            <w:tcW w:w="6521" w:type="dxa"/>
          </w:tcPr>
          <w:p>
            <w:pPr>
              <w:rPr>
                <w:rFonts w:cs="Arial" w:asciiTheme="minorEastAsia" w:hAnsiTheme="minorEastAsia"/>
                <w:sz w:val="24"/>
                <w:szCs w:val="24"/>
              </w:rPr>
            </w:pPr>
            <w:r>
              <w:rPr>
                <w:rFonts w:hint="eastAsia" w:cs="Arial" w:asciiTheme="minorEastAsia" w:hAnsiTheme="minorEastAsia"/>
                <w:sz w:val="24"/>
                <w:szCs w:val="24"/>
              </w:rPr>
              <w:t>配置10GE光纤接口8个，1GE接口8个，管理网络端口除外；配置双路QDR Infiniband交换机及其相应配件作为集群内部通讯，交换机每个端口点对点40Gb/s，配置相应的连接线缆。（厂商提供交换设备）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blHeader/>
          <w:jc w:val="center"/>
        </w:trPr>
        <w:tc>
          <w:tcPr>
            <w:tcW w:w="830" w:type="dxa"/>
            <w:vAlign w:val="center"/>
          </w:tcPr>
          <w:p>
            <w:pPr>
              <w:jc w:val="center"/>
              <w:rPr>
                <w:rFonts w:cs="Arial" w:asciiTheme="minorEastAsia" w:hAnsiTheme="minorEastAsia"/>
                <w:sz w:val="24"/>
                <w:szCs w:val="24"/>
              </w:rPr>
            </w:pPr>
            <w:r>
              <w:rPr>
                <w:rFonts w:cs="Arial" w:asciiTheme="minorEastAsia" w:hAnsiTheme="minorEastAsia"/>
                <w:sz w:val="24"/>
                <w:szCs w:val="24"/>
              </w:rPr>
              <w:t>6</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支持功能</w:t>
            </w:r>
          </w:p>
        </w:tc>
        <w:tc>
          <w:tcPr>
            <w:tcW w:w="6521" w:type="dxa"/>
            <w:vAlign w:val="center"/>
          </w:tcPr>
          <w:p>
            <w:pPr>
              <w:rPr>
                <w:rFonts w:cs="Arial" w:asciiTheme="minorEastAsia" w:hAnsiTheme="minorEastAsia"/>
                <w:sz w:val="24"/>
                <w:szCs w:val="24"/>
              </w:rPr>
            </w:pPr>
            <w:r>
              <w:rPr>
                <w:rFonts w:cs="Arial" w:asciiTheme="minorEastAsia" w:hAnsiTheme="minorEastAsia"/>
                <w:sz w:val="24"/>
                <w:szCs w:val="24"/>
              </w:rPr>
              <w:t>★配置存储访问负载均衡</w:t>
            </w:r>
          </w:p>
          <w:p>
            <w:pPr>
              <w:rPr>
                <w:rFonts w:cs="Arial" w:asciiTheme="minorEastAsia" w:hAnsiTheme="minorEastAsia"/>
                <w:sz w:val="24"/>
                <w:szCs w:val="24"/>
              </w:rPr>
            </w:pPr>
            <w:r>
              <w:rPr>
                <w:rFonts w:cs="Arial" w:asciiTheme="minorEastAsia" w:hAnsiTheme="minorEastAsia"/>
                <w:sz w:val="24"/>
                <w:szCs w:val="24"/>
              </w:rPr>
              <w:t>★配置性能监控软件，用于监控、分析存储性能</w:t>
            </w:r>
          </w:p>
          <w:p>
            <w:pPr>
              <w:rPr>
                <w:rFonts w:cs="Arial" w:asciiTheme="minorEastAsia" w:hAnsiTheme="minorEastAsia"/>
                <w:sz w:val="24"/>
                <w:szCs w:val="24"/>
              </w:rPr>
            </w:pPr>
            <w:r>
              <w:rPr>
                <w:rFonts w:cs="Arial" w:asciiTheme="minorEastAsia" w:hAnsiTheme="minorEastAsia"/>
                <w:sz w:val="24"/>
                <w:szCs w:val="24"/>
              </w:rPr>
              <w:t>★</w:t>
            </w:r>
            <w:r>
              <w:rPr>
                <w:rFonts w:hint="eastAsia" w:cs="Arial" w:asciiTheme="minorEastAsia" w:hAnsiTheme="minorEastAsia"/>
                <w:sz w:val="24"/>
                <w:szCs w:val="24"/>
              </w:rPr>
              <w:t>配置</w:t>
            </w:r>
            <w:r>
              <w:rPr>
                <w:rFonts w:cs="Arial" w:asciiTheme="minorEastAsia" w:hAnsiTheme="minorEastAsia"/>
                <w:sz w:val="24"/>
                <w:szCs w:val="24"/>
              </w:rPr>
              <w:t>自动化数据分层和数据迁移</w:t>
            </w:r>
          </w:p>
          <w:p>
            <w:pPr>
              <w:rPr>
                <w:rFonts w:cs="Arial" w:asciiTheme="minorEastAsia" w:hAnsiTheme="minorEastAsia"/>
                <w:sz w:val="24"/>
                <w:szCs w:val="24"/>
              </w:rPr>
            </w:pPr>
            <w:r>
              <w:rPr>
                <w:rFonts w:cs="Arial" w:asciiTheme="minorEastAsia" w:hAnsiTheme="minorEastAsia"/>
                <w:sz w:val="24"/>
                <w:szCs w:val="24"/>
              </w:rPr>
              <w:t>★</w:t>
            </w:r>
            <w:r>
              <w:rPr>
                <w:rFonts w:hint="eastAsia" w:cs="Arial" w:asciiTheme="minorEastAsia" w:hAnsiTheme="minorEastAsia"/>
                <w:sz w:val="24"/>
                <w:szCs w:val="24"/>
              </w:rPr>
              <w:t>配置数据归档软件，用于归档苏北人民医院的PACS近线数据，如果有容量限制授权，需配置无限容量授权。</w:t>
            </w:r>
          </w:p>
          <w:p>
            <w:pPr>
              <w:rPr>
                <w:rFonts w:cs="Arial" w:asciiTheme="minorEastAsia" w:hAnsiTheme="minorEastAsia"/>
                <w:sz w:val="24"/>
                <w:szCs w:val="24"/>
              </w:rPr>
            </w:pPr>
            <w:r>
              <w:rPr>
                <w:rFonts w:hint="eastAsia" w:cs="Arial" w:asciiTheme="minorEastAsia" w:hAnsiTheme="minorEastAsia"/>
                <w:sz w:val="24"/>
                <w:szCs w:val="24"/>
              </w:rPr>
              <w:t>支持</w:t>
            </w:r>
            <w:r>
              <w:rPr>
                <w:rFonts w:cs="Arial" w:asciiTheme="minorEastAsia" w:hAnsiTheme="minorEastAsia"/>
                <w:sz w:val="24"/>
                <w:szCs w:val="24"/>
              </w:rPr>
              <w:t>存储底层复制，要求支持一对一、一对多、多对多远程复制</w:t>
            </w:r>
          </w:p>
          <w:p>
            <w:pPr>
              <w:rPr>
                <w:rFonts w:cs="Arial" w:asciiTheme="minorEastAsia" w:hAnsiTheme="minorEastAsia"/>
                <w:sz w:val="24"/>
                <w:szCs w:val="24"/>
              </w:rPr>
            </w:pPr>
            <w:r>
              <w:rPr>
                <w:rFonts w:hint="eastAsia" w:cs="Arial" w:asciiTheme="minorEastAsia" w:hAnsiTheme="minorEastAsia"/>
                <w:sz w:val="24"/>
                <w:szCs w:val="24"/>
              </w:rPr>
              <w:t>支持</w:t>
            </w:r>
            <w:r>
              <w:rPr>
                <w:rFonts w:cs="Arial" w:asciiTheme="minorEastAsia" w:hAnsiTheme="minorEastAsia"/>
                <w:sz w:val="24"/>
                <w:szCs w:val="24"/>
              </w:rPr>
              <w:t>用户和组的配额管理</w:t>
            </w:r>
          </w:p>
          <w:p>
            <w:pPr>
              <w:rPr>
                <w:rFonts w:cs="Arial" w:asciiTheme="minorEastAsia" w:hAnsiTheme="minorEastAsia"/>
                <w:sz w:val="24"/>
                <w:szCs w:val="24"/>
              </w:rPr>
            </w:pPr>
            <w:r>
              <w:rPr>
                <w:rFonts w:hint="eastAsia" w:cs="Arial" w:asciiTheme="minorEastAsia" w:hAnsiTheme="minorEastAsia"/>
                <w:sz w:val="24"/>
                <w:szCs w:val="24"/>
              </w:rPr>
              <w:t>支持</w:t>
            </w:r>
            <w:r>
              <w:rPr>
                <w:rFonts w:cs="Arial" w:asciiTheme="minorEastAsia" w:hAnsiTheme="minorEastAsia"/>
                <w:sz w:val="24"/>
                <w:szCs w:val="24"/>
              </w:rPr>
              <w:t>文件系统级别快照，快照数量的增加不影响应用性能</w:t>
            </w:r>
          </w:p>
          <w:p>
            <w:pPr>
              <w:rPr>
                <w:rFonts w:cs="Arial" w:asciiTheme="minorEastAsia" w:hAnsiTheme="minorEastAsia"/>
                <w:sz w:val="24"/>
                <w:szCs w:val="24"/>
              </w:rPr>
            </w:pPr>
            <w:r>
              <w:rPr>
                <w:rFonts w:cs="Arial" w:asciiTheme="minorEastAsia" w:hAnsiTheme="minorEastAsia"/>
                <w:sz w:val="24"/>
                <w:szCs w:val="24"/>
              </w:rPr>
              <w:t>支持数据去重功能</w:t>
            </w:r>
          </w:p>
          <w:p>
            <w:pPr>
              <w:rPr>
                <w:rFonts w:cs="Arial" w:asciiTheme="minorEastAsia" w:hAnsiTheme="minorEastAsia"/>
                <w:sz w:val="24"/>
                <w:szCs w:val="24"/>
              </w:rPr>
            </w:pPr>
            <w:r>
              <w:rPr>
                <w:rFonts w:cs="Arial" w:asciiTheme="minorEastAsia" w:hAnsiTheme="minorEastAsia"/>
                <w:sz w:val="24"/>
                <w:szCs w:val="24"/>
              </w:rPr>
              <w:t>支持文件系统审计功能</w:t>
            </w:r>
          </w:p>
          <w:p>
            <w:pPr>
              <w:rPr>
                <w:rFonts w:cs="Arial" w:asciiTheme="minorEastAsia" w:hAnsiTheme="minorEastAsia"/>
                <w:sz w:val="24"/>
                <w:szCs w:val="24"/>
              </w:rPr>
            </w:pPr>
            <w:r>
              <w:rPr>
                <w:rFonts w:cs="Arial" w:asciiTheme="minorEastAsia" w:hAnsiTheme="minorEastAsia"/>
                <w:sz w:val="24"/>
                <w:szCs w:val="24"/>
              </w:rPr>
              <w:t>支持WORM技术</w:t>
            </w:r>
          </w:p>
          <w:p>
            <w:pPr>
              <w:rPr>
                <w:rFonts w:cs="Arial" w:asciiTheme="minorEastAsia" w:hAnsiTheme="minorEastAsia"/>
                <w:sz w:val="24"/>
                <w:szCs w:val="24"/>
              </w:rPr>
            </w:pPr>
            <w:r>
              <w:rPr>
                <w:rFonts w:cs="Arial" w:asciiTheme="minorEastAsia" w:hAnsiTheme="minorEastAsia"/>
                <w:sz w:val="24"/>
                <w:szCs w:val="24"/>
              </w:rPr>
              <w:t>支持NDMP 2-way备份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7</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w:t>
            </w:r>
            <w:r>
              <w:rPr>
                <w:rFonts w:hint="eastAsia" w:cs="Arial" w:asciiTheme="minorEastAsia" w:hAnsiTheme="minorEastAsia"/>
                <w:sz w:val="24"/>
                <w:szCs w:val="24"/>
              </w:rPr>
              <w:t>数据保护</w:t>
            </w:r>
          </w:p>
        </w:tc>
        <w:tc>
          <w:tcPr>
            <w:tcW w:w="6521" w:type="dxa"/>
            <w:vAlign w:val="center"/>
          </w:tcPr>
          <w:p>
            <w:pPr>
              <w:rPr>
                <w:rFonts w:cs="Arial" w:asciiTheme="minorEastAsia" w:hAnsiTheme="minorEastAsia"/>
                <w:sz w:val="24"/>
                <w:szCs w:val="24"/>
              </w:rPr>
            </w:pPr>
            <w:r>
              <w:rPr>
                <w:rFonts w:cs="Arial" w:asciiTheme="minorEastAsia" w:hAnsiTheme="minorEastAsia"/>
                <w:sz w:val="24"/>
                <w:szCs w:val="24"/>
              </w:rPr>
              <w:t>具备RAID 5/10/6或相似技术，支持多副本保护机制，要求最多支持8副本保护；支持集群内任意3块硬盘同时故障而数据不发生丢失；最高可以实现任意</w:t>
            </w:r>
            <w:r>
              <w:rPr>
                <w:rFonts w:hint="eastAsia" w:cs="Arial" w:asciiTheme="minorEastAsia" w:hAnsiTheme="minorEastAsia"/>
                <w:sz w:val="24"/>
                <w:szCs w:val="24"/>
              </w:rPr>
              <w:t>4</w:t>
            </w:r>
            <w:r>
              <w:rPr>
                <w:rFonts w:cs="Arial" w:asciiTheme="minorEastAsia" w:hAnsiTheme="minorEastAsia"/>
                <w:sz w:val="24"/>
                <w:szCs w:val="24"/>
              </w:rPr>
              <w:t>个</w:t>
            </w:r>
            <w:r>
              <w:rPr>
                <w:rFonts w:hint="eastAsia" w:cs="Arial" w:asciiTheme="minorEastAsia" w:hAnsiTheme="minorEastAsia"/>
                <w:sz w:val="24"/>
                <w:szCs w:val="24"/>
              </w:rPr>
              <w:t>控制器</w:t>
            </w:r>
            <w:r>
              <w:rPr>
                <w:rFonts w:cs="Arial" w:asciiTheme="minorEastAsia" w:hAnsiTheme="minorEastAsia"/>
                <w:sz w:val="24"/>
                <w:szCs w:val="24"/>
              </w:rPr>
              <w:t>同时损坏应用不中断，数据不丢失。具备全局热备盘和降级访问功能，允许在线更改保护机制，不影响应用使用。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8</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★存储容量</w:t>
            </w:r>
          </w:p>
        </w:tc>
        <w:tc>
          <w:tcPr>
            <w:tcW w:w="6521" w:type="dxa"/>
            <w:vAlign w:val="center"/>
          </w:tcPr>
          <w:p>
            <w:pPr>
              <w:rPr>
                <w:rFonts w:cs="Arial" w:asciiTheme="minorEastAsia" w:hAnsiTheme="minorEastAsia"/>
                <w:sz w:val="24"/>
                <w:szCs w:val="24"/>
              </w:rPr>
            </w:pPr>
            <w:r>
              <w:rPr>
                <w:rFonts w:cs="Arial" w:asciiTheme="minorEastAsia" w:hAnsiTheme="minorEastAsia"/>
                <w:sz w:val="24"/>
                <w:szCs w:val="24"/>
              </w:rPr>
              <w:t>配置</w:t>
            </w:r>
            <w:r>
              <w:rPr>
                <w:rFonts w:hint="eastAsia" w:cs="Arial" w:asciiTheme="minorEastAsia" w:hAnsiTheme="minorEastAsia"/>
                <w:sz w:val="24"/>
                <w:szCs w:val="24"/>
              </w:rPr>
              <w:t>可用</w:t>
            </w:r>
            <w:r>
              <w:rPr>
                <w:rFonts w:cs="Arial" w:asciiTheme="minorEastAsia" w:hAnsiTheme="minorEastAsia"/>
                <w:sz w:val="24"/>
                <w:szCs w:val="24"/>
              </w:rPr>
              <w:t>容量</w:t>
            </w:r>
            <w:r>
              <w:rPr>
                <w:rFonts w:hint="eastAsia" w:cs="Arial" w:asciiTheme="minorEastAsia" w:hAnsiTheme="minorEastAsia"/>
                <w:sz w:val="24"/>
                <w:szCs w:val="24"/>
              </w:rPr>
              <w:t>≥100</w:t>
            </w:r>
            <w:r>
              <w:rPr>
                <w:rFonts w:cs="Arial" w:asciiTheme="minorEastAsia" w:hAnsiTheme="minorEastAsia"/>
                <w:sz w:val="24"/>
                <w:szCs w:val="24"/>
              </w:rPr>
              <w:t>TB，</w:t>
            </w:r>
            <w:r>
              <w:rPr>
                <w:rFonts w:hint="eastAsia" w:cs="Arial" w:asciiTheme="minorEastAsia" w:hAnsiTheme="minorEastAsia"/>
                <w:sz w:val="24"/>
                <w:szCs w:val="24"/>
              </w:rPr>
              <w:t>配置≥48</w:t>
            </w:r>
            <w:r>
              <w:rPr>
                <w:rFonts w:cs="Arial" w:asciiTheme="minorEastAsia" w:hAnsiTheme="minorEastAsia"/>
                <w:sz w:val="24"/>
                <w:szCs w:val="24"/>
              </w:rPr>
              <w:t>块</w:t>
            </w:r>
            <w:r>
              <w:rPr>
                <w:rFonts w:hint="eastAsia" w:cs="Arial" w:asciiTheme="minorEastAsia" w:hAnsiTheme="minorEastAsia"/>
                <w:sz w:val="24"/>
                <w:szCs w:val="24"/>
              </w:rPr>
              <w:t>3</w:t>
            </w:r>
            <w:r>
              <w:rPr>
                <w:rFonts w:cs="Arial" w:asciiTheme="minorEastAsia" w:hAnsiTheme="minorEastAsia"/>
                <w:sz w:val="24"/>
                <w:szCs w:val="24"/>
              </w:rPr>
              <w:t>TB 7.2K SATA磁盘</w:t>
            </w:r>
            <w:r>
              <w:rPr>
                <w:rFonts w:hint="eastAsia" w:cs="Arial" w:asciiTheme="minorEastAsia" w:hAnsiTheme="minorEastAsia"/>
                <w:sz w:val="24"/>
                <w:szCs w:val="24"/>
              </w:rPr>
              <w:t>；</w:t>
            </w:r>
            <w:r>
              <w:rPr>
                <w:rFonts w:cs="Arial" w:asciiTheme="minorEastAsia" w:hAnsiTheme="minorEastAsia"/>
                <w:sz w:val="24"/>
                <w:szCs w:val="24"/>
              </w:rPr>
              <w:t>单一集群最大支持硬盘数量≥8000块</w:t>
            </w:r>
            <w:r>
              <w:rPr>
                <w:rFonts w:hint="eastAsia" w:cs="Arial" w:asciiTheme="minorEastAsia" w:hAnsiTheme="minor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9</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系统管理</w:t>
            </w:r>
          </w:p>
        </w:tc>
        <w:tc>
          <w:tcPr>
            <w:tcW w:w="6521" w:type="dxa"/>
            <w:vAlign w:val="center"/>
          </w:tcPr>
          <w:p>
            <w:pPr>
              <w:rPr>
                <w:rFonts w:cs="Arial" w:asciiTheme="minorEastAsia" w:hAnsiTheme="minorEastAsia"/>
                <w:sz w:val="24"/>
                <w:szCs w:val="24"/>
              </w:rPr>
            </w:pPr>
            <w:r>
              <w:rPr>
                <w:rFonts w:cs="Arial" w:asciiTheme="minorEastAsia" w:hAnsiTheme="minorEastAsia"/>
                <w:sz w:val="24"/>
                <w:szCs w:val="24"/>
              </w:rPr>
              <w:t>可通过GUI或CLI设置阵列；B/S架构，无需在管理端安装软件，直接可通过Web浏览器管理阵列，可管理NAS引擎数量</w:t>
            </w:r>
            <w:r>
              <w:rPr>
                <w:rFonts w:hint="eastAsia" w:cs="Arial" w:asciiTheme="minorEastAsia" w:hAnsiTheme="minorEastAsia"/>
                <w:sz w:val="24"/>
                <w:szCs w:val="24"/>
              </w:rPr>
              <w:t>≥</w:t>
            </w:r>
            <w:r>
              <w:rPr>
                <w:rFonts w:cs="Arial" w:asciiTheme="minorEastAsia" w:hAnsiTheme="minorEastAsia"/>
                <w:sz w:val="24"/>
                <w:szCs w:val="24"/>
              </w:rPr>
              <w:t>100</w:t>
            </w:r>
            <w:r>
              <w:rPr>
                <w:rFonts w:hint="eastAsia" w:cs="Arial" w:asciiTheme="minorEastAsia" w:hAnsiTheme="minorEastAsia"/>
                <w:sz w:val="24"/>
                <w:szCs w:val="24"/>
              </w:rPr>
              <w:t>个</w:t>
            </w:r>
            <w:r>
              <w:rPr>
                <w:rFonts w:cs="Arial" w:asciiTheme="minorEastAsia" w:hAnsiTheme="minorEastAsia"/>
                <w:sz w:val="24"/>
                <w:szCs w:val="24"/>
              </w:rPr>
              <w:t>；如果磁盘阵列系统出现问题，能够通过服务警报或警报管理器的提醒服务自动提醒厂商服务中心及用户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11</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★零操作在线扩容</w:t>
            </w:r>
          </w:p>
        </w:tc>
        <w:tc>
          <w:tcPr>
            <w:tcW w:w="6521" w:type="dxa"/>
          </w:tcPr>
          <w:p>
            <w:pPr>
              <w:rPr>
                <w:rFonts w:cs="Arial" w:asciiTheme="minorEastAsia" w:hAnsiTheme="minorEastAsia"/>
                <w:sz w:val="24"/>
                <w:szCs w:val="24"/>
              </w:rPr>
            </w:pPr>
            <w:r>
              <w:rPr>
                <w:rFonts w:cs="Arial" w:asciiTheme="minorEastAsia" w:hAnsiTheme="minorEastAsia"/>
                <w:sz w:val="24"/>
                <w:szCs w:val="24"/>
              </w:rPr>
              <w:t>可通过设备液晶面板完成扩容操作，在存储集群扩展时，新节点连接到集群后，存储系统能够自动识别所加入的节点的容量，并自动合并所加入的空间。无需人工操作RAID配置、卷划分和文件系统配置，应用无需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12</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虚拟环境的集成</w:t>
            </w:r>
          </w:p>
        </w:tc>
        <w:tc>
          <w:tcPr>
            <w:tcW w:w="6521" w:type="dxa"/>
            <w:vAlign w:val="center"/>
          </w:tcPr>
          <w:p>
            <w:pPr>
              <w:rPr>
                <w:rFonts w:cs="Arial" w:asciiTheme="minorEastAsia" w:hAnsiTheme="minorEastAsia"/>
                <w:sz w:val="24"/>
                <w:szCs w:val="24"/>
              </w:rPr>
            </w:pPr>
            <w:r>
              <w:rPr>
                <w:rFonts w:hint="eastAsia" w:cs="Arial" w:asciiTheme="minorEastAsia" w:hAnsiTheme="minorEastAsia"/>
                <w:sz w:val="24"/>
                <w:szCs w:val="24"/>
              </w:rPr>
              <w:t>支持VMware API，包括VAAI VASA等集成，</w:t>
            </w:r>
            <w:r>
              <w:rPr>
                <w:rFonts w:cs="宋体" w:asciiTheme="minorEastAsia" w:hAnsiTheme="minorEastAsia"/>
                <w:kern w:val="0"/>
                <w:sz w:val="24"/>
                <w:szCs w:val="24"/>
              </w:rPr>
              <w:t>需提供官网截图和官网链接证明</w:t>
            </w:r>
            <w:r>
              <w:rPr>
                <w:rFonts w:hint="eastAsia" w:cs="宋体" w:asciiTheme="minorEastAsia" w:hAnsiTheme="minorEastAsia"/>
                <w:kern w:val="0"/>
                <w:sz w:val="24"/>
                <w:szCs w:val="24"/>
              </w:rPr>
              <w:t>并盖章</w:t>
            </w:r>
            <w:r>
              <w:rPr>
                <w:rFonts w:cs="宋体" w:asciiTheme="minorEastAsia" w:hAnsiTheme="minorEastAsia"/>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830" w:type="dxa"/>
            <w:vAlign w:val="center"/>
          </w:tcPr>
          <w:p>
            <w:pPr>
              <w:jc w:val="center"/>
              <w:rPr>
                <w:rFonts w:cs="Arial" w:asciiTheme="minorEastAsia" w:hAnsiTheme="minorEastAsia"/>
                <w:sz w:val="24"/>
                <w:szCs w:val="24"/>
              </w:rPr>
            </w:pPr>
            <w:r>
              <w:rPr>
                <w:rFonts w:hint="eastAsia" w:cs="Arial" w:asciiTheme="minorEastAsia" w:hAnsiTheme="minorEastAsia"/>
                <w:sz w:val="24"/>
                <w:szCs w:val="24"/>
              </w:rPr>
              <w:t>13</w:t>
            </w:r>
          </w:p>
        </w:tc>
        <w:tc>
          <w:tcPr>
            <w:tcW w:w="1481" w:type="dxa"/>
            <w:vAlign w:val="center"/>
          </w:tcPr>
          <w:p>
            <w:pPr>
              <w:rPr>
                <w:rFonts w:cs="Arial" w:asciiTheme="minorEastAsia" w:hAnsiTheme="minorEastAsia"/>
                <w:sz w:val="24"/>
                <w:szCs w:val="24"/>
              </w:rPr>
            </w:pPr>
            <w:r>
              <w:rPr>
                <w:rFonts w:cs="Arial" w:asciiTheme="minorEastAsia" w:hAnsiTheme="minorEastAsia"/>
                <w:sz w:val="24"/>
                <w:szCs w:val="24"/>
              </w:rPr>
              <w:t>★服务与授权</w:t>
            </w:r>
          </w:p>
        </w:tc>
        <w:tc>
          <w:tcPr>
            <w:tcW w:w="6521" w:type="dxa"/>
            <w:vAlign w:val="center"/>
          </w:tcPr>
          <w:p>
            <w:pPr>
              <w:widowControl/>
              <w:jc w:val="left"/>
              <w:rPr>
                <w:rFonts w:cs="宋体" w:asciiTheme="minorEastAsia" w:hAnsiTheme="minorEastAsia"/>
                <w:kern w:val="0"/>
                <w:sz w:val="24"/>
                <w:szCs w:val="24"/>
              </w:rPr>
            </w:pPr>
            <w:r>
              <w:rPr>
                <w:rFonts w:hint="eastAsia" w:cs="Calibri" w:asciiTheme="minorEastAsia" w:hAnsiTheme="minorEastAsia"/>
                <w:sz w:val="24"/>
                <w:szCs w:val="24"/>
              </w:rPr>
              <w:t>报价时</w:t>
            </w:r>
            <w:r>
              <w:rPr>
                <w:rFonts w:cs="Calibri" w:asciiTheme="minorEastAsia" w:hAnsiTheme="minorEastAsia"/>
                <w:sz w:val="24"/>
                <w:szCs w:val="24"/>
              </w:rPr>
              <w:t>提供原厂针对本项目的</w:t>
            </w:r>
            <w:r>
              <w:rPr>
                <w:rFonts w:hint="eastAsia" w:asciiTheme="minorEastAsia" w:hAnsiTheme="minorEastAsia"/>
                <w:sz w:val="24"/>
                <w:szCs w:val="24"/>
              </w:rPr>
              <w:t>授权函和服务承诺函</w:t>
            </w:r>
            <w:r>
              <w:rPr>
                <w:rFonts w:cs="Calibri" w:asciiTheme="minorEastAsia" w:hAnsiTheme="minorEastAsia"/>
                <w:sz w:val="24"/>
                <w:szCs w:val="24"/>
              </w:rPr>
              <w:t>。提供原厂7×24小时,4小时响应服务</w:t>
            </w:r>
            <w:r>
              <w:rPr>
                <w:rFonts w:hint="eastAsia" w:cs="Calibri" w:asciiTheme="minorEastAsia" w:hAnsiTheme="minorEastAsia"/>
                <w:sz w:val="24"/>
                <w:szCs w:val="24"/>
              </w:rPr>
              <w:t>,不少于3年原厂售后服务</w:t>
            </w:r>
            <w:r>
              <w:rPr>
                <w:rFonts w:cs="Calibri" w:asciiTheme="minorEastAsia" w:hAnsiTheme="minorEastAsia"/>
                <w:sz w:val="24"/>
                <w:szCs w:val="24"/>
              </w:rPr>
              <w:t>。</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9C73DC"/>
    <w:multiLevelType w:val="multilevel"/>
    <w:tmpl w:val="349C73DC"/>
    <w:lvl w:ilvl="0" w:tentative="0">
      <w:start w:val="1"/>
      <w:numFmt w:val="decimal"/>
      <w:lvlText w:val="%1、"/>
      <w:lvlJc w:val="left"/>
      <w:pPr>
        <w:ind w:left="1260" w:hanging="720"/>
      </w:pPr>
      <w:rPr>
        <w:rFonts w:hint="default"/>
      </w:rPr>
    </w:lvl>
    <w:lvl w:ilvl="1" w:tentative="0">
      <w:start w:val="1"/>
      <w:numFmt w:val="lowerLetter"/>
      <w:lvlText w:val="%2)"/>
      <w:lvlJc w:val="left"/>
      <w:pPr>
        <w:ind w:left="1380" w:hanging="420"/>
      </w:pPr>
    </w:lvl>
    <w:lvl w:ilvl="2" w:tentative="0">
      <w:start w:val="1"/>
      <w:numFmt w:val="lowerRoman"/>
      <w:lvlText w:val="%3."/>
      <w:lvlJc w:val="right"/>
      <w:pPr>
        <w:ind w:left="1800" w:hanging="420"/>
      </w:pPr>
    </w:lvl>
    <w:lvl w:ilvl="3" w:tentative="0">
      <w:start w:val="1"/>
      <w:numFmt w:val="decimal"/>
      <w:lvlText w:val="%4."/>
      <w:lvlJc w:val="left"/>
      <w:pPr>
        <w:ind w:left="2220" w:hanging="420"/>
      </w:pPr>
    </w:lvl>
    <w:lvl w:ilvl="4" w:tentative="0">
      <w:start w:val="1"/>
      <w:numFmt w:val="lowerLetter"/>
      <w:lvlText w:val="%5)"/>
      <w:lvlJc w:val="left"/>
      <w:pPr>
        <w:ind w:left="2640" w:hanging="420"/>
      </w:pPr>
    </w:lvl>
    <w:lvl w:ilvl="5" w:tentative="0">
      <w:start w:val="1"/>
      <w:numFmt w:val="lowerRoman"/>
      <w:lvlText w:val="%6."/>
      <w:lvlJc w:val="right"/>
      <w:pPr>
        <w:ind w:left="3060" w:hanging="420"/>
      </w:pPr>
    </w:lvl>
    <w:lvl w:ilvl="6" w:tentative="0">
      <w:start w:val="1"/>
      <w:numFmt w:val="decimal"/>
      <w:lvlText w:val="%7."/>
      <w:lvlJc w:val="left"/>
      <w:pPr>
        <w:ind w:left="3480" w:hanging="420"/>
      </w:pPr>
    </w:lvl>
    <w:lvl w:ilvl="7" w:tentative="0">
      <w:start w:val="1"/>
      <w:numFmt w:val="lowerLetter"/>
      <w:lvlText w:val="%8)"/>
      <w:lvlJc w:val="left"/>
      <w:pPr>
        <w:ind w:left="3900" w:hanging="420"/>
      </w:pPr>
    </w:lvl>
    <w:lvl w:ilvl="8" w:tentative="0">
      <w:start w:val="1"/>
      <w:numFmt w:val="lowerRoman"/>
      <w:lvlText w:val="%9."/>
      <w:lvlJc w:val="right"/>
      <w:pPr>
        <w:ind w:left="4320" w:hanging="420"/>
      </w:pPr>
    </w:lvl>
  </w:abstractNum>
  <w:abstractNum w:abstractNumId="1">
    <w:nsid w:val="785526D1"/>
    <w:multiLevelType w:val="multilevel"/>
    <w:tmpl w:val="785526D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964CE"/>
    <w:rsid w:val="000321EC"/>
    <w:rsid w:val="0004406C"/>
    <w:rsid w:val="00080349"/>
    <w:rsid w:val="000B61E3"/>
    <w:rsid w:val="000D68D4"/>
    <w:rsid w:val="000F460E"/>
    <w:rsid w:val="00107391"/>
    <w:rsid w:val="00147E22"/>
    <w:rsid w:val="00157722"/>
    <w:rsid w:val="0016325B"/>
    <w:rsid w:val="001A4D3E"/>
    <w:rsid w:val="001B0938"/>
    <w:rsid w:val="001E32CD"/>
    <w:rsid w:val="001F6276"/>
    <w:rsid w:val="002248E7"/>
    <w:rsid w:val="00254C6B"/>
    <w:rsid w:val="002B35F0"/>
    <w:rsid w:val="002D1A0E"/>
    <w:rsid w:val="00301D06"/>
    <w:rsid w:val="00304B63"/>
    <w:rsid w:val="0030646C"/>
    <w:rsid w:val="0031416E"/>
    <w:rsid w:val="00342686"/>
    <w:rsid w:val="0035112E"/>
    <w:rsid w:val="003604C9"/>
    <w:rsid w:val="0036517F"/>
    <w:rsid w:val="003A5CBC"/>
    <w:rsid w:val="003D6B21"/>
    <w:rsid w:val="004347B8"/>
    <w:rsid w:val="00437F90"/>
    <w:rsid w:val="00446624"/>
    <w:rsid w:val="00455BD2"/>
    <w:rsid w:val="00465399"/>
    <w:rsid w:val="00466BAC"/>
    <w:rsid w:val="004A58E1"/>
    <w:rsid w:val="004A6432"/>
    <w:rsid w:val="004C4456"/>
    <w:rsid w:val="005408D7"/>
    <w:rsid w:val="00547091"/>
    <w:rsid w:val="00566E81"/>
    <w:rsid w:val="006020EA"/>
    <w:rsid w:val="00603D3A"/>
    <w:rsid w:val="00616B07"/>
    <w:rsid w:val="00627BE1"/>
    <w:rsid w:val="00653FD0"/>
    <w:rsid w:val="006679DA"/>
    <w:rsid w:val="00667F56"/>
    <w:rsid w:val="00676474"/>
    <w:rsid w:val="006A7FEE"/>
    <w:rsid w:val="006E3BA6"/>
    <w:rsid w:val="00703AFF"/>
    <w:rsid w:val="0070726A"/>
    <w:rsid w:val="00716D5A"/>
    <w:rsid w:val="00792D0B"/>
    <w:rsid w:val="007B0A62"/>
    <w:rsid w:val="007B7F4D"/>
    <w:rsid w:val="007C5C45"/>
    <w:rsid w:val="007F3126"/>
    <w:rsid w:val="00811215"/>
    <w:rsid w:val="00861EB2"/>
    <w:rsid w:val="00867356"/>
    <w:rsid w:val="00877BDD"/>
    <w:rsid w:val="00882ECA"/>
    <w:rsid w:val="008E3E37"/>
    <w:rsid w:val="008E3FF3"/>
    <w:rsid w:val="008F7A69"/>
    <w:rsid w:val="00904872"/>
    <w:rsid w:val="00930BD9"/>
    <w:rsid w:val="009538D1"/>
    <w:rsid w:val="00953E70"/>
    <w:rsid w:val="009714F0"/>
    <w:rsid w:val="009920B1"/>
    <w:rsid w:val="009958C6"/>
    <w:rsid w:val="009C47BE"/>
    <w:rsid w:val="009C4B25"/>
    <w:rsid w:val="009D3FEA"/>
    <w:rsid w:val="00A01D84"/>
    <w:rsid w:val="00A45974"/>
    <w:rsid w:val="00A619FB"/>
    <w:rsid w:val="00AB62E5"/>
    <w:rsid w:val="00AE252C"/>
    <w:rsid w:val="00B02387"/>
    <w:rsid w:val="00B07E57"/>
    <w:rsid w:val="00B1714C"/>
    <w:rsid w:val="00B63167"/>
    <w:rsid w:val="00B6424D"/>
    <w:rsid w:val="00B853DB"/>
    <w:rsid w:val="00B902D7"/>
    <w:rsid w:val="00BA422F"/>
    <w:rsid w:val="00BE0846"/>
    <w:rsid w:val="00C12421"/>
    <w:rsid w:val="00C336C2"/>
    <w:rsid w:val="00C71D2C"/>
    <w:rsid w:val="00C87A5A"/>
    <w:rsid w:val="00C94953"/>
    <w:rsid w:val="00CA5459"/>
    <w:rsid w:val="00CC3C10"/>
    <w:rsid w:val="00CD1BCA"/>
    <w:rsid w:val="00CF2285"/>
    <w:rsid w:val="00D0700C"/>
    <w:rsid w:val="00D37DFD"/>
    <w:rsid w:val="00DF2D61"/>
    <w:rsid w:val="00E60C09"/>
    <w:rsid w:val="00E64132"/>
    <w:rsid w:val="00E7088A"/>
    <w:rsid w:val="00E74C3F"/>
    <w:rsid w:val="00E92CA0"/>
    <w:rsid w:val="00EA4BAE"/>
    <w:rsid w:val="00EC3C81"/>
    <w:rsid w:val="00F02685"/>
    <w:rsid w:val="00F31473"/>
    <w:rsid w:val="00F717E1"/>
    <w:rsid w:val="00F84545"/>
    <w:rsid w:val="00F87838"/>
    <w:rsid w:val="00F93668"/>
    <w:rsid w:val="00F94020"/>
    <w:rsid w:val="00F964CE"/>
    <w:rsid w:val="00FD2217"/>
    <w:rsid w:val="00FE4FE1"/>
    <w:rsid w:val="00FF6213"/>
    <w:rsid w:val="7FAC3E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5"/>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6"/>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9">
    <w:name w:val="Hyperlink"/>
    <w:basedOn w:val="8"/>
    <w:unhideWhenUsed/>
    <w:uiPriority w:val="99"/>
    <w:rPr>
      <w:color w:val="0000FF"/>
      <w:u w:val="single"/>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2">
    <w:name w:val="页眉 Char"/>
    <w:basedOn w:val="8"/>
    <w:link w:val="6"/>
    <w:uiPriority w:val="99"/>
    <w:rPr>
      <w:sz w:val="18"/>
      <w:szCs w:val="18"/>
    </w:rPr>
  </w:style>
  <w:style w:type="character" w:customStyle="1" w:styleId="13">
    <w:name w:val="页脚 Char"/>
    <w:basedOn w:val="8"/>
    <w:link w:val="5"/>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框文本 Char"/>
    <w:basedOn w:val="8"/>
    <w:link w:val="4"/>
    <w:semiHidden/>
    <w:uiPriority w:val="99"/>
    <w:rPr>
      <w:sz w:val="18"/>
      <w:szCs w:val="18"/>
    </w:rPr>
  </w:style>
  <w:style w:type="character" w:customStyle="1" w:styleId="16">
    <w:name w:val="HTML 预设格式 Char"/>
    <w:basedOn w:val="8"/>
    <w:link w:val="7"/>
    <w:uiPriority w:val="99"/>
    <w:rPr>
      <w:rFonts w:ascii="宋体" w:hAnsi="宋体" w:eastAsia="宋体" w:cs="宋体"/>
      <w:kern w:val="0"/>
      <w:sz w:val="24"/>
      <w:szCs w:val="24"/>
    </w:rPr>
  </w:style>
  <w:style w:type="character" w:customStyle="1" w:styleId="17">
    <w:name w:val="标题 2 Char"/>
    <w:basedOn w:val="8"/>
    <w:link w:val="3"/>
    <w:qFormat/>
    <w:uiPriority w:val="9"/>
    <w:rPr>
      <w:rFonts w:asciiTheme="majorHAnsi" w:hAnsiTheme="majorHAnsi" w:eastAsiaTheme="majorEastAsia" w:cstheme="majorBidi"/>
      <w:b/>
      <w:bCs/>
      <w:sz w:val="32"/>
      <w:szCs w:val="32"/>
    </w:rPr>
  </w:style>
  <w:style w:type="paragraph" w:customStyle="1" w:styleId="18">
    <w:name w:val="小标题"/>
    <w:basedOn w:val="1"/>
    <w:qFormat/>
    <w:uiPriority w:val="0"/>
    <w:pPr>
      <w:snapToGrid w:val="0"/>
      <w:spacing w:line="360" w:lineRule="auto"/>
    </w:pPr>
    <w:rPr>
      <w:rFonts w:ascii="仿宋_GB2312" w:hAnsi="宋体" w:eastAsia="宋体" w:cs="宋体"/>
      <w:b/>
      <w:sz w:val="28"/>
      <w:szCs w:val="32"/>
    </w:rPr>
  </w:style>
  <w:style w:type="paragraph" w:customStyle="1" w:styleId="19">
    <w:name w:val="正文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20">
    <w:name w:val="标题 1 Char"/>
    <w:basedOn w:val="8"/>
    <w:link w:val="2"/>
    <w:qFormat/>
    <w:uiPriority w:val="9"/>
    <w:rPr>
      <w:b/>
      <w:bCs/>
      <w:kern w:val="44"/>
      <w:sz w:val="44"/>
      <w:szCs w:val="44"/>
    </w:rPr>
  </w:style>
  <w:style w:type="character" w:customStyle="1" w:styleId="21">
    <w:name w:val="无间隔 Char"/>
    <w:link w:val="22"/>
    <w:qFormat/>
    <w:uiPriority w:val="1"/>
    <w:rPr>
      <w:rFonts w:ascii="Calibri" w:hAnsi="Calibri"/>
    </w:rPr>
  </w:style>
  <w:style w:type="paragraph" w:styleId="22">
    <w:name w:val="No Spacing"/>
    <w:link w:val="21"/>
    <w:qFormat/>
    <w:uiPriority w:val="1"/>
    <w:pPr>
      <w:widowControl w:val="0"/>
      <w:jc w:val="both"/>
    </w:pPr>
    <w:rPr>
      <w:rFonts w:ascii="Calibri" w:hAnsi="Calibr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759C6-B775-47F4-A30F-7DF093E25D28}">
  <ds:schemaRefs/>
</ds:datastoreItem>
</file>

<file path=docProps/app.xml><?xml version="1.0" encoding="utf-8"?>
<Properties xmlns="http://schemas.openxmlformats.org/officeDocument/2006/extended-properties" xmlns:vt="http://schemas.openxmlformats.org/officeDocument/2006/docPropsVTypes">
  <Template>Normal</Template>
  <Pages>15</Pages>
  <Words>1660</Words>
  <Characters>9466</Characters>
  <Lines>78</Lines>
  <Paragraphs>22</Paragraphs>
  <TotalTime>0</TotalTime>
  <ScaleCrop>false</ScaleCrop>
  <LinksUpToDate>false</LinksUpToDate>
  <CharactersWithSpaces>11104</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2017-12-24T04:52:00Z</dcterms:created>
  <dc:creator>yzsb</dc:creator>
  <cp:lastModifiedBy>Administrator</cp:lastModifiedBy>
  <dcterms:modified xsi:type="dcterms:W3CDTF">2018-01-06T03:11:19Z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