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黑体"/>
          <w:b/>
          <w:bCs/>
          <w:sz w:val="32"/>
          <w:szCs w:val="32"/>
        </w:rPr>
      </w:pPr>
      <w:r>
        <w:rPr>
          <w:rFonts w:hint="eastAsia" w:ascii="微软雅黑" w:hAnsi="微软雅黑" w:eastAsia="微软雅黑" w:cs="黑体"/>
          <w:b/>
          <w:bCs/>
          <w:sz w:val="32"/>
          <w:szCs w:val="32"/>
        </w:rPr>
        <w:t>苏北医院PACS升级硬件采购项目</w:t>
      </w:r>
    </w:p>
    <w:p>
      <w:pPr>
        <w:jc w:val="center"/>
        <w:rPr>
          <w:rFonts w:ascii="微软雅黑" w:hAnsi="微软雅黑" w:eastAsia="微软雅黑" w:cs="黑体"/>
          <w:b/>
          <w:bCs/>
          <w:sz w:val="32"/>
          <w:szCs w:val="32"/>
        </w:rPr>
      </w:pPr>
      <w:r>
        <w:rPr>
          <w:rFonts w:hint="eastAsia" w:ascii="微软雅黑" w:hAnsi="微软雅黑" w:eastAsia="微软雅黑" w:cs="黑体"/>
          <w:b/>
          <w:bCs/>
          <w:sz w:val="32"/>
          <w:szCs w:val="32"/>
        </w:rPr>
        <w:t>技术需求文档</w:t>
      </w:r>
    </w:p>
    <w:p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9"/>
        <w:tblW w:w="10201" w:type="dxa"/>
        <w:tblInd w:w="-7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0"/>
        <w:gridCol w:w="1843"/>
        <w:gridCol w:w="945"/>
        <w:gridCol w:w="2599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区域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用途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苏北医院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服务器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苏北医院PACS服务器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HP、华三、CISCO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核心存储Unity500扩容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苏北医院PACS在线及虚拟化应用平台存储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与现有设备品牌一致（EMC）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备份一体机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用于全院核心数据备份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HP、华三、EMC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集成服务和数据迁移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集成服务和数据迁移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14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14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具体参数要求（带</w:t>
      </w:r>
      <w:r>
        <w:rPr>
          <w:rFonts w:asciiTheme="minorEastAsia" w:hAnsiTheme="minorEastAsia"/>
          <w:color w:val="000000"/>
          <w:sz w:val="24"/>
          <w:szCs w:val="24"/>
        </w:rPr>
        <w:t>★</w:t>
      </w:r>
      <w:r>
        <w:rPr>
          <w:rFonts w:hint="eastAsia" w:asciiTheme="minorEastAsia" w:hAnsiTheme="minorEastAsia"/>
          <w:b/>
          <w:sz w:val="28"/>
          <w:szCs w:val="28"/>
        </w:rPr>
        <w:t>号为必须满足项）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以下所有软硬件产品均需提供安装、调试以及与之相关的业务调整、数据迁移等服务。为了确保相关产品能够得到原厂的优质服务，以及后续的原厂技术支持，本次项目要求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报价时提供原厂授权和原厂服务承诺函。</w:t>
      </w:r>
    </w:p>
    <w:p>
      <w:pPr>
        <w:pStyle w:val="3"/>
        <w:numPr>
          <w:ilvl w:val="1"/>
          <w:numId w:val="2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服务器（3台）</w:t>
      </w:r>
    </w:p>
    <w:tbl>
      <w:tblPr>
        <w:tblStyle w:val="8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2"/>
        <w:gridCol w:w="4936"/>
        <w:gridCol w:w="1443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9" w:type="dxa"/>
            <w:shd w:val="clear" w:color="000000" w:fill="E6E6E6"/>
            <w:vAlign w:val="center"/>
          </w:tcPr>
          <w:p>
            <w:pP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000000" w:fill="E6E6E6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4936" w:type="dxa"/>
            <w:shd w:val="clear" w:color="000000" w:fill="E6E6E6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指标要求</w:t>
            </w:r>
          </w:p>
        </w:tc>
        <w:tc>
          <w:tcPr>
            <w:tcW w:w="1443" w:type="dxa"/>
            <w:shd w:val="clear" w:color="000000" w:fill="E6E6E6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是否响应</w:t>
            </w:r>
          </w:p>
        </w:tc>
        <w:tc>
          <w:tcPr>
            <w:tcW w:w="1430" w:type="dxa"/>
            <w:shd w:val="clear" w:color="000000" w:fill="E6E6E6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★机型</w:t>
            </w:r>
          </w:p>
        </w:tc>
        <w:tc>
          <w:tcPr>
            <w:tcW w:w="49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4U机架式服务器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★处理器</w:t>
            </w:r>
          </w:p>
        </w:tc>
        <w:tc>
          <w:tcPr>
            <w:tcW w:w="49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4颗</w:t>
            </w:r>
            <w:r>
              <w:rPr>
                <w:rFonts w:asciiTheme="minorEastAsia" w:hAnsiTheme="minorEastAsia"/>
                <w:sz w:val="24"/>
                <w:szCs w:val="24"/>
              </w:rPr>
              <w:t>Intel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Xeon SP 511812</w:t>
            </w:r>
            <w:r>
              <w:rPr>
                <w:rFonts w:asciiTheme="minorEastAsia" w:hAnsiTheme="minorEastAsia"/>
                <w:sz w:val="24"/>
                <w:szCs w:val="24"/>
              </w:rPr>
              <w:t>C2.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GHz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处理器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内存</w:t>
            </w:r>
          </w:p>
        </w:tc>
        <w:tc>
          <w:tcPr>
            <w:tcW w:w="49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GB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，内存为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DDR4-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2666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MHz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RDIMM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内存，支持后续内存的扩展,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内存扩展性</w:t>
            </w:r>
          </w:p>
        </w:tc>
        <w:tc>
          <w:tcPr>
            <w:tcW w:w="49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≥48个内存槽位, 支持≥3TB内存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配置2块600GB  10Krpm SAS热插拔硬盘，支持后续硬盘扩展，每台服务器提供至少8个热插拔硬盘槽位；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阵列卡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配置12Gbps SAS磁盘阵列控制器，支持Raid0/1/10/5/50/6/60,≥2GB缓存，支持缓存数据保护，且后备保护不受时间限制；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★网卡</w:t>
            </w:r>
          </w:p>
        </w:tc>
        <w:tc>
          <w:tcPr>
            <w:tcW w:w="4936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配置1块4端口千兆以太网卡；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配置2块2端口万兆光口以太网卡及相对应的模块；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配置2块1端口16GB光纤卡及相对应的模块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远程管理卡</w:t>
            </w:r>
          </w:p>
        </w:tc>
        <w:tc>
          <w:tcPr>
            <w:tcW w:w="4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配置≥1Gb独立的远程管理控制端口，配置虚拟KVM功能, 可实现与操作系统无关的远程对服务器的完全控制，包括远程的开机、关机、重启、更新Firmware、虚拟软驱、虚拟光驱、虚拟文件夹等操作，提供服务器健康日记、服务器控制台录屏/回放功能，能够提供电源监控。</w:t>
            </w:r>
          </w:p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主板内嵌操作系统导航安装环境，实现无物理光盘介质部署操作系统。内嵌4GB闪存空间，可存放日志及用户数据。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电源风扇</w:t>
            </w:r>
          </w:p>
        </w:tc>
        <w:tc>
          <w:tcPr>
            <w:tcW w:w="493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配置4个1600W铂金版热插拔冗余电源；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配置热插拔冗余风扇。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操作系统支持</w:t>
            </w:r>
          </w:p>
        </w:tc>
        <w:tc>
          <w:tcPr>
            <w:tcW w:w="49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支持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Windows, Linux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等主流操作系统，以及VMWare，Hyper-V，RHEL-KVM等主流虚拟化操作系统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★服务器虚拟化软件</w:t>
            </w:r>
          </w:p>
        </w:tc>
        <w:tc>
          <w:tcPr>
            <w:tcW w:w="493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color w:val="000000" w:themeColor="text1"/>
                <w:sz w:val="24"/>
                <w:szCs w:val="24"/>
              </w:rPr>
              <w:t>针对我院现有的虚拟化平台增加3台4路服务器(12颗CPU)，虚拟化软件版本为企业增强版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cs="Arial" w:asciiTheme="minorEastAsia" w:hAnsiTheme="minorEastAsia"/>
                <w:sz w:val="24"/>
                <w:szCs w:val="24"/>
              </w:rPr>
              <w:t>服务与授权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售后服务：不少于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年原厂售后服务，服务级别</w:t>
            </w:r>
            <w:r>
              <w:rPr>
                <w:rFonts w:asciiTheme="minorEastAsia" w:hAnsiTheme="minorEastAsia"/>
                <w:sz w:val="24"/>
                <w:szCs w:val="24"/>
              </w:rPr>
              <w:t>7x24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，要求原厂出具授权函和服务承诺函。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/>
    <w:p/>
    <w:p>
      <w:pPr>
        <w:pStyle w:val="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1.2核心存储Unity500扩容（2套）</w:t>
      </w:r>
    </w:p>
    <w:tbl>
      <w:tblPr>
        <w:tblStyle w:val="8"/>
        <w:tblW w:w="9704" w:type="dxa"/>
        <w:jc w:val="center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06"/>
        <w:gridCol w:w="5059"/>
        <w:gridCol w:w="1276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技术指标</w:t>
            </w: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指标说明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是否响应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磁盘要求</w:t>
            </w:r>
          </w:p>
        </w:tc>
        <w:tc>
          <w:tcPr>
            <w:tcW w:w="5059" w:type="dxa"/>
            <w:vAlign w:val="center"/>
          </w:tcPr>
          <w:p>
            <w:pPr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sz w:val="24"/>
                <w:szCs w:val="24"/>
              </w:rPr>
              <w:t>针对我院现有的两台EMC UNITY 500存储设备各增加60块1.2T 的SAS磁盘及相对应的扩展柜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容量许可</w:t>
            </w:r>
          </w:p>
        </w:tc>
        <w:tc>
          <w:tcPr>
            <w:tcW w:w="5059" w:type="dxa"/>
            <w:vAlign w:val="center"/>
          </w:tcPr>
          <w:p>
            <w:pPr>
              <w:rPr>
                <w:rFonts w:cs="Arial Unicode MS" w:asciiTheme="minorEastAsia" w:hAnsiTheme="minorEastAsia"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sz w:val="24"/>
                <w:szCs w:val="24"/>
              </w:rPr>
              <w:t>配置144TB的UNITY 500存储许可和VPLEX存储网关容量许可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asciiTheme="minorEastAsia" w:hAnsiTheme="minorEastAsia" w:cstheme="minorHAnsi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★</w:t>
            </w:r>
            <w:r>
              <w:rPr>
                <w:rFonts w:asciiTheme="minorEastAsia" w:hAnsiTheme="minorEastAsia" w:cstheme="minorHAnsi"/>
                <w:bCs/>
                <w:sz w:val="24"/>
                <w:szCs w:val="24"/>
              </w:rPr>
              <w:t>服务</w:t>
            </w:r>
            <w:r>
              <w:rPr>
                <w:rFonts w:hint="eastAsia" w:asciiTheme="minorEastAsia" w:hAnsiTheme="minorEastAsia" w:cstheme="minorHAnsi"/>
                <w:bCs/>
                <w:sz w:val="24"/>
                <w:szCs w:val="24"/>
              </w:rPr>
              <w:t>与授权</w:t>
            </w:r>
          </w:p>
        </w:tc>
        <w:tc>
          <w:tcPr>
            <w:tcW w:w="5059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报价时</w:t>
            </w:r>
            <w:r>
              <w:rPr>
                <w:rFonts w:asciiTheme="minorEastAsia" w:hAnsiTheme="minorEastAsia" w:cstheme="minorHAnsi"/>
                <w:sz w:val="24"/>
                <w:szCs w:val="24"/>
              </w:rPr>
              <w:t>提供原厂针对本项目的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授权函和服务承诺函</w:t>
            </w:r>
            <w:r>
              <w:rPr>
                <w:rFonts w:asciiTheme="minorEastAsia" w:hAnsiTheme="minorEastAsia" w:cstheme="minorHAnsi"/>
                <w:sz w:val="24"/>
                <w:szCs w:val="24"/>
              </w:rPr>
              <w:t>。提供原厂7×24小时,4小时响应服务</w:t>
            </w: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,质保周期随原厂标准。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</w:tr>
    </w:tbl>
    <w:p/>
    <w:p>
      <w:pPr>
        <w:pStyle w:val="3"/>
        <w:numPr>
          <w:ilvl w:val="1"/>
          <w:numId w:val="3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备份一体机（一套）</w:t>
      </w:r>
    </w:p>
    <w:tbl>
      <w:tblPr>
        <w:tblStyle w:val="8"/>
        <w:tblW w:w="9256" w:type="dxa"/>
        <w:jc w:val="center"/>
        <w:tblInd w:w="-3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02"/>
        <w:gridCol w:w="4709"/>
        <w:gridCol w:w="1276"/>
        <w:gridCol w:w="1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是否响应</w:t>
            </w: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偏离情况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基本要求　</w:t>
            </w: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重复数据删除设备中市场份额排名前三名的国际品牌，而且需有权威第三方证明文件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提供一套备份软件，实现我院现有核心数据库及虚拟化平台200个虚拟化业务的备份 。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采用线内消重（In-line）方式，并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采用变长消重技术以达到最佳消重率；</w:t>
            </w:r>
          </w:p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采用全局消重技术，任何一种协议，包括OST、NAS、VTL所占用的消重空间均为同一个统一的消重池。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采用RAID 6+热备盘技术，同一RAID组在同一时间可以允许任意2块磁盘失效而不丢失数据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★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本期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配置至少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个万兆网络接口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并且可额外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支持8个16G FC端口，或者16个万兆端口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★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配置容量：</w:t>
            </w:r>
          </w:p>
          <w:p>
            <w:pPr>
              <w:adjustRightInd w:val="0"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扣除RAID6和热备盘以后的物理可用容量大小不低于34TB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，最大可用容量不低于175TB；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要求采用7200rpm的大容量近线SAS硬盘以确保更高的可靠性；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hint="eastAsia"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hint="eastAsia"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备份性能</w:t>
            </w: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机头使用SSD盘加快备份性能，同时要求备份设备的最大数据吞吐量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≥24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TB/hr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存储密度</w:t>
            </w:r>
          </w:p>
        </w:tc>
        <w:tc>
          <w:tcPr>
            <w:tcW w:w="4709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可以使用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60盘位的高密度扩展柜进行扩容</w:t>
            </w:r>
          </w:p>
        </w:tc>
        <w:tc>
          <w:tcPr>
            <w:tcW w:w="1276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兼容性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兼容所有主流备份软件：NetBackup, Backup Exec，IBM TSM, HP DP, EMC Networker, CA，Commvault，Dell NetVault，Veeam等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多协议支持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能同时支持以OST、CIFS、NFS、VTL、NDMP等协议接入，所有协议可以同时使用。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与应用的深度集成能力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备份设备支持与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VMware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VDP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直接集成，以提高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VMware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的备份效能；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备份设备支持与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Oracle RMAN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直接集成，以提高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Oracle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备份效能；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备份设备支持与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SQLServer/Exchange/DB2/ MySQL/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等直接集成，无需备份软件即可实现源端消重备份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与主存储的直接集成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无需备份软件就可以直接备份主存储的应用，包括Oracle/SQL Server/Exchange等主流应用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容灾复制技术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支持设备底层远程数据复制技术，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支持多对一、一对多、级联的远程数据复制技术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实现本次新购备份一体机设备与我院现有的虚拟带库底层数据复制，当备份任务发起后，立即将新产生的备份数据复制到我院虚拟带库中，不需要等待备份任务完成，不需要设置计划任务进行复制，不需要手工触发复制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数据安全性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系统应具备数据校验机制，以保证所有备份数据的正确写入，以确保数据可完整恢复，要求在备份的同时而不是在备份完成后做数据校验。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请详细论述实现技术细节。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掉电保护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/>
                <w:sz w:val="24"/>
                <w:szCs w:val="24"/>
              </w:rPr>
              <w:t>≥8G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的掉电保护内存</w:t>
            </w:r>
            <w:r>
              <w:rPr>
                <w:rFonts w:asciiTheme="minorEastAsia" w:hAnsiTheme="minorEastAsia"/>
                <w:sz w:val="24"/>
                <w:szCs w:val="24"/>
              </w:rPr>
              <w:t>，在机房电源供应异常情况下，可保持至少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  <w:r>
              <w:rPr>
                <w:rFonts w:asciiTheme="minorEastAsia" w:hAnsiTheme="minorEastAsia"/>
                <w:sz w:val="24"/>
                <w:szCs w:val="24"/>
              </w:rPr>
              <w:t>小时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掉电保护内存的</w:t>
            </w:r>
            <w:r>
              <w:rPr>
                <w:rFonts w:asciiTheme="minorEastAsia" w:hAnsiTheme="minorEastAsia"/>
                <w:sz w:val="24"/>
                <w:szCs w:val="24"/>
              </w:rPr>
              <w:t>数据不丢失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23"/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★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服务支持</w:t>
            </w:r>
          </w:p>
        </w:tc>
        <w:tc>
          <w:tcPr>
            <w:tcW w:w="4709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售后服务：不少于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年原厂售后服务，服务级别</w:t>
            </w:r>
            <w:r>
              <w:rPr>
                <w:rFonts w:asciiTheme="minorEastAsia" w:hAnsiTheme="minorEastAsia"/>
                <w:sz w:val="24"/>
                <w:szCs w:val="24"/>
              </w:rPr>
              <w:t>7x24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，要求原厂出具授权函和服务承诺函。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14"/>
        <w:ind w:left="570" w:firstLine="0" w:firstLineChars="0"/>
      </w:pPr>
    </w:p>
    <w:p>
      <w:pPr>
        <w:pStyle w:val="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1.4 集成服务和数据迁移</w:t>
      </w:r>
    </w:p>
    <w:tbl>
      <w:tblPr>
        <w:tblStyle w:val="8"/>
        <w:tblW w:w="9423" w:type="dxa"/>
        <w:jc w:val="center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06"/>
        <w:gridCol w:w="4635"/>
        <w:gridCol w:w="127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技术指标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指标说明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是否响应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Arial Unicode MS" w:asciiTheme="minorEastAsia" w:hAnsiTheme="minorEastAsia"/>
                <w:b/>
                <w:sz w:val="24"/>
                <w:szCs w:val="24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asciiTheme="minorEastAsia" w:hAnsiTheme="minorEastAsia" w:cstheme="minorHAnsi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基本要求</w:t>
            </w:r>
          </w:p>
        </w:tc>
        <w:tc>
          <w:tcPr>
            <w:tcW w:w="4635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1、提供本次项目所有产品安装、部署及配置服务；</w:t>
            </w:r>
          </w:p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2、提供医院信息技术人员高级培训服务（地点由医院决定，人数不限）；</w:t>
            </w:r>
          </w:p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3、投标人需提供1名驻场工程师，对医院数据中心进行维护；</w:t>
            </w:r>
          </w:p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4、供应商三年现场技术支持服务，必须承诺提供7*24小时服务、工程师10分钟内响应、1小时内赴现场解决问题；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tblHeader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★数据迁移</w:t>
            </w:r>
          </w:p>
        </w:tc>
        <w:tc>
          <w:tcPr>
            <w:tcW w:w="4635" w:type="dxa"/>
            <w:vAlign w:val="center"/>
          </w:tcPr>
          <w:p>
            <w:pPr>
              <w:rPr>
                <w:rFonts w:asciiTheme="minorEastAsia" w:hAnsiTheme="minorEastAsia" w:cstheme="minorHAnsi"/>
                <w:sz w:val="24"/>
                <w:szCs w:val="24"/>
              </w:rPr>
            </w:pPr>
            <w:r>
              <w:rPr>
                <w:rFonts w:hint="eastAsia" w:asciiTheme="minorEastAsia" w:hAnsiTheme="minorEastAsia" w:cstheme="minorHAnsi"/>
                <w:sz w:val="24"/>
                <w:szCs w:val="24"/>
              </w:rPr>
              <w:t>现有环境中所有PACS在线影像的迁移（约20TB），迁移过程业务不允许中断，迁移完成之后需在数据层和应用层进行校验；此项服务由GE公司、相关厂商及供应商联合执行，所有费用由中标供应商与GE公司结算，医院不承担后续费用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HAnsi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spacing w:line="480" w:lineRule="exact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苏北人民医院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信息处</w:t>
      </w:r>
    </w:p>
    <w:p>
      <w:pPr>
        <w:wordWrap/>
        <w:spacing w:line="480" w:lineRule="exact"/>
        <w:jc w:val="righ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2019年5月9日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95B"/>
    <w:multiLevelType w:val="multilevel"/>
    <w:tmpl w:val="3AF809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0FA1"/>
    <w:multiLevelType w:val="multilevel"/>
    <w:tmpl w:val="49DE0FA1"/>
    <w:lvl w:ilvl="0" w:tentative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60C0AE7"/>
    <w:multiLevelType w:val="multilevel"/>
    <w:tmpl w:val="760C0AE7"/>
    <w:lvl w:ilvl="0" w:tentative="0">
      <w:start w:val="1"/>
      <w:numFmt w:val="decimal"/>
      <w:lvlText w:val="%1"/>
      <w:lvlJc w:val="left"/>
      <w:pPr>
        <w:ind w:left="570" w:hanging="570"/>
      </w:pPr>
      <w:rPr>
        <w:rFonts w:hint="default"/>
        <w:sz w:val="28"/>
      </w:rPr>
    </w:lvl>
    <w:lvl w:ilvl="1" w:tentative="0">
      <w:start w:val="1"/>
      <w:numFmt w:val="decimal"/>
      <w:lvlText w:val="%1.%2"/>
      <w:lvlJc w:val="left"/>
      <w:pPr>
        <w:ind w:left="570" w:hanging="570"/>
      </w:pPr>
      <w:rPr>
        <w:rFonts w:hint="default"/>
        <w:sz w:val="28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">
    <w:nsid w:val="785526D1"/>
    <w:multiLevelType w:val="multilevel"/>
    <w:tmpl w:val="785526D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4CE"/>
    <w:rsid w:val="000321EC"/>
    <w:rsid w:val="0004406C"/>
    <w:rsid w:val="00044E1F"/>
    <w:rsid w:val="000568A1"/>
    <w:rsid w:val="00080349"/>
    <w:rsid w:val="000B61E3"/>
    <w:rsid w:val="000D4987"/>
    <w:rsid w:val="000D68D4"/>
    <w:rsid w:val="000F44F5"/>
    <w:rsid w:val="000F460E"/>
    <w:rsid w:val="00107391"/>
    <w:rsid w:val="00114691"/>
    <w:rsid w:val="00147E22"/>
    <w:rsid w:val="00157722"/>
    <w:rsid w:val="0016325B"/>
    <w:rsid w:val="001A4D3E"/>
    <w:rsid w:val="001B0938"/>
    <w:rsid w:val="001E32CD"/>
    <w:rsid w:val="001F6276"/>
    <w:rsid w:val="002022E8"/>
    <w:rsid w:val="002177E0"/>
    <w:rsid w:val="00220179"/>
    <w:rsid w:val="00220D04"/>
    <w:rsid w:val="002248E7"/>
    <w:rsid w:val="00254C6B"/>
    <w:rsid w:val="002B35F0"/>
    <w:rsid w:val="002D1A0E"/>
    <w:rsid w:val="00301D06"/>
    <w:rsid w:val="00304B63"/>
    <w:rsid w:val="0030646C"/>
    <w:rsid w:val="00306E80"/>
    <w:rsid w:val="00307776"/>
    <w:rsid w:val="0031416E"/>
    <w:rsid w:val="00316EC8"/>
    <w:rsid w:val="00336DAF"/>
    <w:rsid w:val="00342686"/>
    <w:rsid w:val="0035112E"/>
    <w:rsid w:val="003604C9"/>
    <w:rsid w:val="0036517F"/>
    <w:rsid w:val="003865F3"/>
    <w:rsid w:val="00393B54"/>
    <w:rsid w:val="003A5CBC"/>
    <w:rsid w:val="003D6B21"/>
    <w:rsid w:val="003F659E"/>
    <w:rsid w:val="004347B8"/>
    <w:rsid w:val="00437F90"/>
    <w:rsid w:val="00440154"/>
    <w:rsid w:val="004413A5"/>
    <w:rsid w:val="00446624"/>
    <w:rsid w:val="00455BD2"/>
    <w:rsid w:val="00465399"/>
    <w:rsid w:val="00466BAC"/>
    <w:rsid w:val="00466D41"/>
    <w:rsid w:val="00492269"/>
    <w:rsid w:val="004A58E1"/>
    <w:rsid w:val="004A6432"/>
    <w:rsid w:val="004C4456"/>
    <w:rsid w:val="005408D7"/>
    <w:rsid w:val="00547091"/>
    <w:rsid w:val="00566E81"/>
    <w:rsid w:val="005B1365"/>
    <w:rsid w:val="005C18BB"/>
    <w:rsid w:val="005F4548"/>
    <w:rsid w:val="006020EA"/>
    <w:rsid w:val="00603D3A"/>
    <w:rsid w:val="00616B07"/>
    <w:rsid w:val="006175B2"/>
    <w:rsid w:val="00627BE1"/>
    <w:rsid w:val="00634368"/>
    <w:rsid w:val="00645374"/>
    <w:rsid w:val="00653FD0"/>
    <w:rsid w:val="00660C60"/>
    <w:rsid w:val="006679DA"/>
    <w:rsid w:val="00667F56"/>
    <w:rsid w:val="00676474"/>
    <w:rsid w:val="00686EA0"/>
    <w:rsid w:val="006A69D9"/>
    <w:rsid w:val="006A7FEE"/>
    <w:rsid w:val="006C6153"/>
    <w:rsid w:val="006E3BA6"/>
    <w:rsid w:val="006F21AD"/>
    <w:rsid w:val="00703AFF"/>
    <w:rsid w:val="0070726A"/>
    <w:rsid w:val="00716D5A"/>
    <w:rsid w:val="00766769"/>
    <w:rsid w:val="0077415F"/>
    <w:rsid w:val="00792D0B"/>
    <w:rsid w:val="007A3DD1"/>
    <w:rsid w:val="007B0A62"/>
    <w:rsid w:val="007B7F4D"/>
    <w:rsid w:val="007C247D"/>
    <w:rsid w:val="007C5C45"/>
    <w:rsid w:val="007E19BB"/>
    <w:rsid w:val="007E58AB"/>
    <w:rsid w:val="007F3126"/>
    <w:rsid w:val="00811215"/>
    <w:rsid w:val="0085080E"/>
    <w:rsid w:val="00861EB2"/>
    <w:rsid w:val="0086309F"/>
    <w:rsid w:val="00867356"/>
    <w:rsid w:val="00877BDD"/>
    <w:rsid w:val="00882ECA"/>
    <w:rsid w:val="008B3527"/>
    <w:rsid w:val="008E3E37"/>
    <w:rsid w:val="008E3FF3"/>
    <w:rsid w:val="008F12AB"/>
    <w:rsid w:val="008F61D1"/>
    <w:rsid w:val="008F7A69"/>
    <w:rsid w:val="0090415F"/>
    <w:rsid w:val="00904872"/>
    <w:rsid w:val="0091132F"/>
    <w:rsid w:val="00930BD9"/>
    <w:rsid w:val="00937507"/>
    <w:rsid w:val="00944E06"/>
    <w:rsid w:val="009538D1"/>
    <w:rsid w:val="00953E70"/>
    <w:rsid w:val="00955C08"/>
    <w:rsid w:val="009714F0"/>
    <w:rsid w:val="00977EDC"/>
    <w:rsid w:val="009861FF"/>
    <w:rsid w:val="009920B1"/>
    <w:rsid w:val="009958C6"/>
    <w:rsid w:val="009C47BE"/>
    <w:rsid w:val="009C4B25"/>
    <w:rsid w:val="009D3FEA"/>
    <w:rsid w:val="00A01D84"/>
    <w:rsid w:val="00A45974"/>
    <w:rsid w:val="00A52165"/>
    <w:rsid w:val="00A619FB"/>
    <w:rsid w:val="00A8233E"/>
    <w:rsid w:val="00AB62E5"/>
    <w:rsid w:val="00AE252C"/>
    <w:rsid w:val="00AF4864"/>
    <w:rsid w:val="00B02387"/>
    <w:rsid w:val="00B02D13"/>
    <w:rsid w:val="00B07E57"/>
    <w:rsid w:val="00B1714C"/>
    <w:rsid w:val="00B33B3A"/>
    <w:rsid w:val="00B63167"/>
    <w:rsid w:val="00B6424D"/>
    <w:rsid w:val="00B853DB"/>
    <w:rsid w:val="00B902D7"/>
    <w:rsid w:val="00B92395"/>
    <w:rsid w:val="00BA422F"/>
    <w:rsid w:val="00BE0846"/>
    <w:rsid w:val="00BF37CF"/>
    <w:rsid w:val="00C12421"/>
    <w:rsid w:val="00C336C2"/>
    <w:rsid w:val="00C71D2C"/>
    <w:rsid w:val="00C87A5A"/>
    <w:rsid w:val="00C94953"/>
    <w:rsid w:val="00CA5459"/>
    <w:rsid w:val="00CC28F8"/>
    <w:rsid w:val="00CC3C10"/>
    <w:rsid w:val="00CD1BCA"/>
    <w:rsid w:val="00CD3379"/>
    <w:rsid w:val="00CE38DE"/>
    <w:rsid w:val="00CF2285"/>
    <w:rsid w:val="00D0700C"/>
    <w:rsid w:val="00D15E0D"/>
    <w:rsid w:val="00D36F05"/>
    <w:rsid w:val="00D37DFD"/>
    <w:rsid w:val="00D469BC"/>
    <w:rsid w:val="00DF2D61"/>
    <w:rsid w:val="00DF593F"/>
    <w:rsid w:val="00E14831"/>
    <w:rsid w:val="00E60C09"/>
    <w:rsid w:val="00E64132"/>
    <w:rsid w:val="00E7088A"/>
    <w:rsid w:val="00E74C3F"/>
    <w:rsid w:val="00E92CA0"/>
    <w:rsid w:val="00E92F89"/>
    <w:rsid w:val="00EA4BAE"/>
    <w:rsid w:val="00EC3C81"/>
    <w:rsid w:val="00F02685"/>
    <w:rsid w:val="00F25BB9"/>
    <w:rsid w:val="00F31473"/>
    <w:rsid w:val="00F413CF"/>
    <w:rsid w:val="00F65BA4"/>
    <w:rsid w:val="00F717E1"/>
    <w:rsid w:val="00F74EAB"/>
    <w:rsid w:val="00F80A57"/>
    <w:rsid w:val="00F84545"/>
    <w:rsid w:val="00F87838"/>
    <w:rsid w:val="00F93668"/>
    <w:rsid w:val="00F94020"/>
    <w:rsid w:val="00F964CE"/>
    <w:rsid w:val="00FC1FDB"/>
    <w:rsid w:val="00FD2217"/>
    <w:rsid w:val="00FE4FE1"/>
    <w:rsid w:val="00FF6213"/>
    <w:rsid w:val="49755C08"/>
    <w:rsid w:val="7FAC3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10"/>
    <w:link w:val="7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小标题"/>
    <w:basedOn w:val="1"/>
    <w:qFormat/>
    <w:uiPriority w:val="0"/>
    <w:pPr>
      <w:snapToGrid w:val="0"/>
      <w:spacing w:line="360" w:lineRule="auto"/>
    </w:pPr>
    <w:rPr>
      <w:rFonts w:ascii="仿宋_GB2312" w:hAnsi="宋体" w:eastAsia="宋体" w:cs="宋体"/>
      <w:b/>
      <w:sz w:val="28"/>
      <w:szCs w:val="32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无间隔 Char"/>
    <w:link w:val="22"/>
    <w:qFormat/>
    <w:uiPriority w:val="1"/>
    <w:rPr>
      <w:rFonts w:ascii="Calibri" w:hAnsi="Calibri"/>
    </w:rPr>
  </w:style>
  <w:style w:type="paragraph" w:styleId="22">
    <w:name w:val="No Spacing"/>
    <w:link w:val="21"/>
    <w:qFormat/>
    <w:uiPriority w:val="1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 w:eastAsia="宋体" w:cs="Times New Roman"/>
      <w:kern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C51FF-DCF3-4D17-ABAB-E7339D3FA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430</Words>
  <Characters>2451</Characters>
  <Lines>20</Lines>
  <Paragraphs>5</Paragraphs>
  <TotalTime>0</TotalTime>
  <ScaleCrop>false</ScaleCrop>
  <LinksUpToDate>false</LinksUpToDate>
  <CharactersWithSpaces>2876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2017-12-24T04:52:00Z</dcterms:created>
  <dc:creator>yzsb</dc:creator>
  <cp:lastModifiedBy>Administrator</cp:lastModifiedBy>
  <cp:lastPrinted>2019-05-09T01:07:00Z</cp:lastPrinted>
  <dcterms:modified xsi:type="dcterms:W3CDTF">2019-05-09T03:20:43Z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