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C5" w:rsidRPr="006D45A9" w:rsidRDefault="006B082A" w:rsidP="00146342">
      <w:pPr>
        <w:spacing w:afterLines="100"/>
        <w:jc w:val="center"/>
        <w:rPr>
          <w:rFonts w:hAnsi="宋体"/>
          <w:b/>
          <w:sz w:val="36"/>
          <w:szCs w:val="36"/>
        </w:rPr>
      </w:pPr>
      <w:r w:rsidRPr="006D45A9">
        <w:rPr>
          <w:rFonts w:hAnsi="宋体"/>
          <w:b/>
          <w:sz w:val="36"/>
          <w:szCs w:val="36"/>
        </w:rPr>
        <w:t>苏北人民医院热交换器采购项目技术要求</w:t>
      </w:r>
      <w:r w:rsidR="00146342">
        <w:rPr>
          <w:rFonts w:hAnsi="宋体" w:hint="eastAsia"/>
          <w:b/>
          <w:sz w:val="36"/>
          <w:szCs w:val="36"/>
        </w:rPr>
        <w:t>及</w:t>
      </w:r>
      <w:r w:rsidR="00146342" w:rsidRPr="00146342">
        <w:rPr>
          <w:rFonts w:hAnsi="宋体"/>
          <w:b/>
          <w:sz w:val="36"/>
          <w:szCs w:val="36"/>
        </w:rPr>
        <w:t>评标标准</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一、项目背景</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医技楼供热机房共有3台空调热交换器，供给门诊楼、医技楼、二号病房楼及三号病房楼冬季空调热水，四栋大楼总建筑面积98332㎡。其中一台为2006年投入使用的北京特高换热设备有限公司产品（换热面积：40㎡，容积：1.6m³，介质：水/汽，设计压力1.0MPa），第二台为2020年增加的塞斯波热交换器（换热面积：8.8㎡，介质：水/汽，设计压力1.6MPa），第三台为2014年投入使用的扬州巨人机械有限公司立式半即热式换热器（换热面积：55.6㎡，介质：水/汽，设计压力1.0MPa）。目前，第三台扬州巨人热交换器换热管束破裂，拟更新满足使用的空调热交换器1台，蒸汽供应压力为0.4MPa，蒸汽管径为DN100，进出水管径为DN125。</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八号楼供热机房共有高低区生活热水交换器各1台，空调热交换器1台。其中高区生活热水交换器为2010年投入使用的北京特高换热设备有限公司立式半容积式换热器（换热面积：6㎡，容积：2m³，介质：水/汽，设计压力1.0MPa），低区生活热水交换器为2013年投入使用的北京特高换热设备有限公司立式（半）容积式浮动盘管换热器（换热面积：6㎡，容积：2m³，介质：水/汽，设计压力1.0MPa）。空调热交换器供给八号楼冬季空调热水，总建筑面积6820m2。目前，热交换器换故障无法维修，拟更新满足使用的生活热水交换器2台，蒸汽供应压力为0.2MPa，蒸汽管径为DN80，进出水管径为DN80；空调热交换器1台，蒸汽供应压力为0.2MPa，蒸汽管径为DN100，进出水管径为DN100。</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一号楼热水机房共有低区生活热水交换器各1台。其中一台低区生活热水交换器为2017年投入使用的塞斯波热交换器（换热面积：4㎡，介质：水/汽，设计压力1.6MPa），另一台为低区生活热水交换器为2009年投入使用的北京特高换热设备有限公司半容积式换热器（换热面积：3㎡，介质：水/汽，设计压力1.0MPa）。目前，北京特高热交换器换罐体漏水无法维修，拟更新满足使用的低区生活热水交换器1台，蒸汽供应压力为0.2MPa，蒸汽管径为DN65，进出水管径为DN80。</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九号楼热水机房共有高区生活热水交换器各1台。其中一台高区生活热水交换器为2019年投入使用的塞斯波热交换器（换热面积：4㎡，介质：水/汽，设计压力1.6MPa），另一台高区生活热水交换器为2015年投入使用的扬州巨人浮动盘管型半容积式换热器（换热面积：3㎡，容积：5m³，介质：水/汽，设计压力1.0MPa）。目前，扬州巨人热交换器换罐体漏水无法维修，拟更新满足使用的高区生活热水交换器1台，蒸汽供应压力为0.2MPa，蒸汽管径为DN100，进出水管径为DN100。</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因机房空间小，设备多、改造施工难度大，须更换占地面积小、换热效率高的产品来替代现有设备，以满足供暖、供水需求。投标人可勘查现场后，根据机房现状以及当前设备使用情况进行选型投标。勘查现场联系人：孙工18051063276。</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二、技术要求</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1、项目概述</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1.1项目简介</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苏北人民医院热交换器采购项目。</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1.2主要用途</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医院空调采暖、生活热水。</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2、采购范围（设备及数量）</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本次招标采购的设备：苏北人民医院空调采暖换热器2台、生活热水换热器4台。包括设备的方案设计、供货、指导安装及调试等。</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3、技术参数：</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lastRenderedPageBreak/>
        <w:t>第一台：医技楼等舒适型普通中央空调采暖使用。换热器一次侧热源为0.4MPa的饱和蒸汽，二次侧进出水温度50/60℃。原有换热器参数：换热面积：55.6㎡，介质：水/汽，设计压力1.0MPa。</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第二台：八号楼低区生活热水使用。换热器一次侧热源为0.2mpa的饱和蒸汽，二次侧进出水温度50/60℃，供应病房24小时生活热水使用，水龙头80只，花洒80只。</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第三台：八号楼高区生活热水使用。换热器一次侧热源为0.2mpa的饱和蒸汽，二次侧进出水温度50/60℃，供应病房24小时生活热水使用，水龙头90只，花洒90只。</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第四台：八号楼舒适型普通中央空调采暖使用。换热器一次侧热源为0.2MPa的饱和蒸汽，二次侧进出水温度50/60℃，建筑面积：6820㎡。</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第五台：一号楼低区生活热水使用。换热器一次侧热源为0.2mpa的饱和蒸汽，二次侧进出水温度50/60℃，原有换热器参数：换热面积：3㎡，介质：水/汽，设计压力1.0MPa。</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第六台：九号楼高区生活热水使用。换热器一次侧热源为0.2mpa的饱和蒸汽，二次侧进出水温度50/60℃，原有换热器参数：换热面积：3㎡，容积：5m³，介质：水/汽，设计压力1.0MPa。</w:t>
      </w:r>
    </w:p>
    <w:p w:rsidR="00420BC5" w:rsidRPr="006D45A9" w:rsidRDefault="006B082A" w:rsidP="006D45A9">
      <w:pPr>
        <w:widowControl/>
        <w:shd w:val="clear" w:color="auto" w:fill="FFFFFF"/>
        <w:ind w:firstLineChars="196" w:firstLine="472"/>
        <w:outlineLvl w:val="1"/>
        <w:rPr>
          <w:rFonts w:hAnsi="宋体"/>
          <w:b/>
          <w:bCs/>
          <w:kern w:val="0"/>
          <w:sz w:val="24"/>
          <w:szCs w:val="24"/>
          <w:shd w:val="clear" w:color="auto" w:fill="FFFFFF"/>
        </w:rPr>
      </w:pPr>
      <w:r w:rsidRPr="006D45A9">
        <w:rPr>
          <w:rFonts w:hAnsi="宋体"/>
          <w:b/>
          <w:bCs/>
          <w:kern w:val="0"/>
          <w:sz w:val="24"/>
          <w:szCs w:val="24"/>
          <w:shd w:val="clear" w:color="auto" w:fill="FFFFFF"/>
        </w:rPr>
        <w:t>4、URS技术需求说明</w:t>
      </w:r>
    </w:p>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4.1设备工艺或性能要求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7893"/>
      </w:tblGrid>
      <w:tr w:rsidR="00420BC5" w:rsidRPr="00230DED">
        <w:trPr>
          <w:cantSplit/>
          <w:trHeight w:val="90"/>
          <w:tblHeader/>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序号</w:t>
            </w:r>
          </w:p>
        </w:tc>
        <w:tc>
          <w:tcPr>
            <w:tcW w:w="7893"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URS要求内容</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1</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换热器选型要对应选型计算软件，不能通过经验进行选型，提供科学的计算依据和选型计算书，并保留充足的传热面积，传热效率等性能指标应达到有关标准、规范的要求，并处于国际领先水平。</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2</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设备及设备投标人要符合国家相关标准GB150或满足相关国际标准ASME。</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3</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选用的材料必须考虑换热器的使用条件（如设计温度、设计压力、介质特性和操作特点等）、材料的焊接性能、加热器的制造工艺。</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4</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rPr>
              <w:t>换热机组的设计应使其在满足设计负荷的条件下平稳运行，尽量消除噪音、振动和位移，</w:t>
            </w:r>
            <w:r w:rsidRPr="00230DED">
              <w:rPr>
                <w:rFonts w:cs="Times New Roman"/>
                <w:color w:val="000000"/>
              </w:rPr>
              <w:t>换热器运行噪音≤60dB。</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5</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rPr>
            </w:pPr>
            <w:r w:rsidRPr="00230DED">
              <w:rPr>
                <w:rFonts w:cs="Times New Roman"/>
              </w:rPr>
              <w:t>在七级地震强度条件下，设备能保证结构完整性和连续运行。</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6</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换热管厚度不大于0.6mm，换热管直径不大于10mm。</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7</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设备在每天有效工作时间为24小时情况下连续运行稳定可靠。</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8</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有可靠的设计结构，耐高温、耐高压。</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9</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换热器应提供管壳程容积与换热面积证明，不得虚报。</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10</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bCs/>
              </w:rPr>
              <w:t>二次侧压降不得高于60KPa。</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11</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换热器凝水温度不得高于70℃</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rPr>
              <w:t>12</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换热器设计承压为PN1.6。</w:t>
            </w:r>
          </w:p>
        </w:tc>
      </w:tr>
      <w:tr w:rsidR="00420BC5" w:rsidRPr="00230DED">
        <w:trPr>
          <w:cantSplit/>
          <w:trHeight w:val="567"/>
          <w:jc w:val="center"/>
        </w:trPr>
        <w:tc>
          <w:tcPr>
            <w:tcW w:w="754" w:type="dxa"/>
            <w:noWrap/>
            <w:vAlign w:val="center"/>
          </w:tcPr>
          <w:p w:rsidR="00420BC5" w:rsidRPr="00230DED" w:rsidRDefault="006B082A" w:rsidP="006D45A9">
            <w:pPr>
              <w:pStyle w:val="reader-word-layer"/>
              <w:spacing w:before="0" w:beforeAutospacing="0" w:after="0" w:afterAutospacing="0"/>
              <w:jc w:val="center"/>
              <w:rPr>
                <w:rFonts w:cs="Times New Roman"/>
              </w:rPr>
            </w:pPr>
            <w:r w:rsidRPr="00230DED">
              <w:rPr>
                <w:rFonts w:cs="Times New Roman"/>
              </w:rPr>
              <w:t>13</w:t>
            </w:r>
          </w:p>
        </w:tc>
        <w:tc>
          <w:tcPr>
            <w:tcW w:w="7893"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换热器形式为管壳式换热器或螺旋缠绕管式换热器，不得采用板式换热器。</w:t>
            </w:r>
          </w:p>
        </w:tc>
      </w:tr>
    </w:tbl>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4.2安全要求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7609"/>
      </w:tblGrid>
      <w:tr w:rsidR="00420BC5" w:rsidRPr="006D45A9">
        <w:trPr>
          <w:cantSplit/>
          <w:trHeight w:val="442"/>
          <w:tblHeader/>
          <w:jc w:val="center"/>
        </w:trPr>
        <w:tc>
          <w:tcPr>
            <w:tcW w:w="1040" w:type="dxa"/>
            <w:noWrap/>
            <w:vAlign w:val="center"/>
          </w:tcPr>
          <w:p w:rsidR="00420BC5" w:rsidRPr="006D45A9" w:rsidRDefault="006B082A" w:rsidP="006D45A9">
            <w:pPr>
              <w:pStyle w:val="reader-word-layer"/>
              <w:spacing w:before="0" w:beforeAutospacing="0" w:after="0" w:afterAutospacing="0"/>
              <w:jc w:val="center"/>
              <w:rPr>
                <w:rFonts w:cs="Times New Roman"/>
                <w:b/>
                <w:kern w:val="2"/>
              </w:rPr>
            </w:pPr>
            <w:r w:rsidRPr="006D45A9">
              <w:rPr>
                <w:rFonts w:cs="Times New Roman"/>
                <w:b/>
                <w:kern w:val="2"/>
              </w:rPr>
              <w:t>序号</w:t>
            </w:r>
          </w:p>
        </w:tc>
        <w:tc>
          <w:tcPr>
            <w:tcW w:w="7609" w:type="dxa"/>
            <w:noWrap/>
            <w:vAlign w:val="center"/>
          </w:tcPr>
          <w:p w:rsidR="00420BC5" w:rsidRPr="006D45A9" w:rsidRDefault="006B082A" w:rsidP="006D45A9">
            <w:pPr>
              <w:pStyle w:val="reader-word-layer"/>
              <w:spacing w:before="0" w:beforeAutospacing="0" w:after="0" w:afterAutospacing="0"/>
              <w:jc w:val="center"/>
              <w:rPr>
                <w:rFonts w:cs="Times New Roman"/>
                <w:b/>
                <w:kern w:val="2"/>
              </w:rPr>
            </w:pPr>
            <w:r w:rsidRPr="006D45A9">
              <w:rPr>
                <w:rFonts w:cs="Times New Roman"/>
                <w:b/>
                <w:kern w:val="2"/>
              </w:rPr>
              <w:t>URS要求内容</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lastRenderedPageBreak/>
              <w:t>1</w:t>
            </w:r>
          </w:p>
        </w:tc>
        <w:tc>
          <w:tcPr>
            <w:tcW w:w="7609"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换热器的压力设计值不得低于加热器在正常运行下可能出现的最高压力；并应满足水压试验的压力要求。</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2</w:t>
            </w:r>
          </w:p>
        </w:tc>
        <w:tc>
          <w:tcPr>
            <w:tcW w:w="7609"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设备暴露部位不能有锋利的边缘和尖角，设备运转部件应有可靠防护。</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3</w:t>
            </w:r>
          </w:p>
        </w:tc>
        <w:tc>
          <w:tcPr>
            <w:tcW w:w="7609"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设备厂家应提供各类国内外资格证明</w:t>
            </w:r>
            <w:r w:rsidRPr="00230DED">
              <w:rPr>
                <w:rFonts w:cs="Times New Roman" w:hint="eastAsia"/>
                <w:kern w:val="2"/>
              </w:rPr>
              <w:t>，包括：报关单、ASME（美国机械工程师协会）认证证书，压力容器认证证书</w:t>
            </w:r>
            <w:r w:rsidR="006D45A9" w:rsidRPr="00230DED">
              <w:rPr>
                <w:rFonts w:cs="Times New Roman" w:hint="eastAsia"/>
                <w:kern w:val="2"/>
              </w:rPr>
              <w:t>等</w:t>
            </w:r>
            <w:r w:rsidRPr="00230DED">
              <w:rPr>
                <w:rFonts w:cs="Times New Roman"/>
                <w:kern w:val="2"/>
              </w:rPr>
              <w:t>。</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4</w:t>
            </w:r>
          </w:p>
        </w:tc>
        <w:tc>
          <w:tcPr>
            <w:tcW w:w="7609"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换热器的设计温度值不得低于加热器在正常运行下可能出现的最高温度；各金属受热组件也应能满足该最高温度的要求。</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5</w:t>
            </w:r>
          </w:p>
        </w:tc>
        <w:tc>
          <w:tcPr>
            <w:tcW w:w="7609"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换热器要方便安装、利于维护。</w:t>
            </w:r>
          </w:p>
        </w:tc>
      </w:tr>
    </w:tbl>
    <w:p w:rsidR="00420BC5" w:rsidRPr="00230DED" w:rsidRDefault="006B082A" w:rsidP="00230DED">
      <w:pPr>
        <w:widowControl/>
        <w:shd w:val="clear" w:color="auto" w:fill="FFFFFF"/>
        <w:ind w:firstLineChars="196" w:firstLine="470"/>
        <w:outlineLvl w:val="1"/>
        <w:rPr>
          <w:rFonts w:hAnsi="宋体"/>
          <w:bCs/>
          <w:kern w:val="0"/>
          <w:sz w:val="24"/>
          <w:szCs w:val="24"/>
          <w:shd w:val="clear" w:color="auto" w:fill="FFFFFF"/>
        </w:rPr>
      </w:pPr>
      <w:r w:rsidRPr="00230DED">
        <w:rPr>
          <w:rFonts w:hAnsi="宋体"/>
          <w:bCs/>
          <w:kern w:val="0"/>
          <w:sz w:val="24"/>
          <w:szCs w:val="24"/>
          <w:shd w:val="clear" w:color="auto" w:fill="FFFFFF"/>
        </w:rPr>
        <w:t>4.3外观及材质要求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7614"/>
      </w:tblGrid>
      <w:tr w:rsidR="00420BC5" w:rsidRPr="00230DED">
        <w:trPr>
          <w:cantSplit/>
          <w:trHeight w:val="412"/>
          <w:tblHeader/>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序号</w:t>
            </w:r>
          </w:p>
        </w:tc>
        <w:tc>
          <w:tcPr>
            <w:tcW w:w="7614"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URS要求内容</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1</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换热管材质316L不锈钢，壳程及连接法兰材质316不锈钢。</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2</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管壳程之间的连接角度要充分考虑到传热的充分。</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3</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设备外表面应平整、光滑、无死角、孔隙及明显损伤。</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4</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设备易于清洗，外观干净整齐，生产过程中无外漏。</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6</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全部法兰采用HG/T20592-2009法兰连接。</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highlight w:val="red"/>
              </w:rPr>
            </w:pPr>
            <w:r w:rsidRPr="00230DED">
              <w:rPr>
                <w:rFonts w:cs="Times New Roman"/>
                <w:kern w:val="2"/>
              </w:rPr>
              <w:t>7</w:t>
            </w:r>
          </w:p>
        </w:tc>
        <w:tc>
          <w:tcPr>
            <w:tcW w:w="7614"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b/>
                <w:kern w:val="2"/>
              </w:rPr>
            </w:pPr>
            <w:r w:rsidRPr="00230DED">
              <w:rPr>
                <w:rFonts w:cs="Times New Roman"/>
                <w:b/>
                <w:kern w:val="2"/>
              </w:rPr>
              <w:t>外形尺寸必须满足以下要求（老机房空间小，改造难度大）</w:t>
            </w:r>
          </w:p>
          <w:tbl>
            <w:tblPr>
              <w:tblpPr w:leftFromText="180" w:rightFromText="180" w:vertAnchor="text" w:horzAnchor="page" w:tblpX="403" w:tblpY="323"/>
              <w:tblOverlap w:val="never"/>
              <w:tblW w:w="6827" w:type="dxa"/>
              <w:tblBorders>
                <w:top w:val="single" w:sz="4" w:space="0" w:color="auto"/>
                <w:left w:val="single" w:sz="4" w:space="0" w:color="auto"/>
                <w:bottom w:val="single" w:sz="4" w:space="0" w:color="auto"/>
                <w:right w:val="single" w:sz="4" w:space="0" w:color="auto"/>
              </w:tblBorders>
              <w:tblLook w:val="04A0"/>
            </w:tblPr>
            <w:tblGrid>
              <w:gridCol w:w="1015"/>
              <w:gridCol w:w="2537"/>
              <w:gridCol w:w="3275"/>
            </w:tblGrid>
            <w:tr w:rsidR="00420BC5" w:rsidRPr="00230DED">
              <w:trPr>
                <w:cantSplit/>
                <w:trHeight w:hRule="exact" w:val="743"/>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b/>
                      <w:kern w:val="2"/>
                    </w:rPr>
                  </w:pPr>
                  <w:r w:rsidRPr="00230DED">
                    <w:rPr>
                      <w:rFonts w:cs="Times New Roman"/>
                      <w:b/>
                      <w:kern w:val="2"/>
                    </w:rPr>
                    <w:t>序号</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b/>
                      <w:kern w:val="2"/>
                    </w:rPr>
                  </w:pPr>
                  <w:r w:rsidRPr="00230DED">
                    <w:rPr>
                      <w:rFonts w:cs="Times New Roman"/>
                      <w:b/>
                      <w:kern w:val="2"/>
                    </w:rPr>
                    <w:t>服务区域</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b/>
                      <w:kern w:val="2"/>
                    </w:rPr>
                  </w:pPr>
                  <w:r w:rsidRPr="00230DED">
                    <w:rPr>
                      <w:rFonts w:cs="Times New Roman"/>
                      <w:b/>
                      <w:kern w:val="2"/>
                    </w:rPr>
                    <w:t>外形尺寸必须小于</w:t>
                  </w:r>
                </w:p>
                <w:p w:rsidR="00420BC5" w:rsidRPr="00230DED" w:rsidRDefault="006B082A" w:rsidP="006D45A9">
                  <w:pPr>
                    <w:pStyle w:val="reader-word-layer"/>
                    <w:shd w:val="clear" w:color="auto" w:fill="FFFFFF"/>
                    <w:spacing w:before="0" w:beforeAutospacing="0" w:after="0" w:afterAutospacing="0"/>
                    <w:jc w:val="center"/>
                    <w:rPr>
                      <w:rFonts w:cs="Times New Roman"/>
                      <w:b/>
                      <w:kern w:val="2"/>
                    </w:rPr>
                  </w:pPr>
                  <w:r w:rsidRPr="00230DED">
                    <w:rPr>
                      <w:rFonts w:cs="Times New Roman"/>
                      <w:b/>
                      <w:kern w:val="2"/>
                    </w:rPr>
                    <w:t>（</w:t>
                  </w:r>
                  <w:r w:rsidR="00230DED" w:rsidRPr="00230DED">
                    <w:rPr>
                      <w:rFonts w:hint="eastAsia"/>
                      <w:b/>
                    </w:rPr>
                    <w:t>高*宽*厚mm</w:t>
                  </w:r>
                  <w:r w:rsidRPr="00230DED">
                    <w:rPr>
                      <w:rFonts w:cs="Times New Roman"/>
                      <w:b/>
                      <w:kern w:val="2"/>
                    </w:rPr>
                    <w:t>）</w:t>
                  </w:r>
                </w:p>
              </w:tc>
            </w:tr>
            <w:tr w:rsidR="00420BC5" w:rsidRPr="00230DED">
              <w:trPr>
                <w:cantSplit/>
                <w:trHeight w:val="449"/>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230DED" w:rsidP="006D45A9">
                  <w:pPr>
                    <w:pStyle w:val="reader-word-layer"/>
                    <w:shd w:val="clear" w:color="auto" w:fill="FFFFFF"/>
                    <w:spacing w:before="0" w:beforeAutospacing="0" w:after="0" w:afterAutospacing="0"/>
                    <w:jc w:val="center"/>
                    <w:rPr>
                      <w:rFonts w:cs="Times New Roman"/>
                      <w:kern w:val="2"/>
                    </w:rPr>
                  </w:pPr>
                  <w:r w:rsidRPr="00230DED">
                    <w:rPr>
                      <w:rFonts w:hint="eastAsia"/>
                    </w:rPr>
                    <w:t>八</w:t>
                  </w:r>
                  <w:r w:rsidR="006B082A" w:rsidRPr="00230DED">
                    <w:rPr>
                      <w:rFonts w:cs="Times New Roman"/>
                      <w:kern w:val="2"/>
                    </w:rPr>
                    <w:t>号楼高区热水</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1700</w:t>
                  </w:r>
                  <w:r w:rsidR="00230DED" w:rsidRPr="00230DED">
                    <w:rPr>
                      <w:rFonts w:cs="Times New Roman"/>
                      <w:kern w:val="2"/>
                    </w:rPr>
                    <w:t>*</w:t>
                  </w:r>
                  <w:r w:rsidRPr="00230DED">
                    <w:rPr>
                      <w:rFonts w:cs="Times New Roman"/>
                      <w:kern w:val="2"/>
                    </w:rPr>
                    <w:t>320</w:t>
                  </w:r>
                  <w:r w:rsidR="00230DED" w:rsidRPr="00230DED">
                    <w:rPr>
                      <w:rFonts w:cs="Times New Roman"/>
                      <w:kern w:val="2"/>
                    </w:rPr>
                    <w:t>*</w:t>
                  </w:r>
                  <w:r w:rsidRPr="00230DED">
                    <w:rPr>
                      <w:rFonts w:cs="Times New Roman"/>
                      <w:kern w:val="2"/>
                    </w:rPr>
                    <w:t>320</w:t>
                  </w:r>
                </w:p>
              </w:tc>
            </w:tr>
            <w:tr w:rsidR="00420BC5" w:rsidRPr="00230DED">
              <w:trPr>
                <w:cantSplit/>
                <w:trHeight w:val="539"/>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2</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230DED" w:rsidP="006D45A9">
                  <w:pPr>
                    <w:pStyle w:val="reader-word-layer"/>
                    <w:shd w:val="clear" w:color="auto" w:fill="FFFFFF"/>
                    <w:spacing w:before="0" w:beforeAutospacing="0" w:after="0" w:afterAutospacing="0"/>
                    <w:jc w:val="center"/>
                    <w:rPr>
                      <w:rFonts w:cs="Times New Roman"/>
                      <w:kern w:val="2"/>
                    </w:rPr>
                  </w:pPr>
                  <w:r w:rsidRPr="00230DED">
                    <w:rPr>
                      <w:rFonts w:hint="eastAsia"/>
                    </w:rPr>
                    <w:t>八</w:t>
                  </w:r>
                  <w:r w:rsidR="006B082A" w:rsidRPr="00230DED">
                    <w:rPr>
                      <w:rFonts w:cs="Times New Roman"/>
                      <w:kern w:val="2"/>
                    </w:rPr>
                    <w:t>号楼低区热水</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1700</w:t>
                  </w:r>
                  <w:r w:rsidR="00230DED" w:rsidRPr="00230DED">
                    <w:rPr>
                      <w:rFonts w:cs="Times New Roman"/>
                      <w:kern w:val="2"/>
                    </w:rPr>
                    <w:t>*</w:t>
                  </w:r>
                  <w:r w:rsidRPr="00230DED">
                    <w:rPr>
                      <w:rFonts w:cs="Times New Roman"/>
                      <w:kern w:val="2"/>
                    </w:rPr>
                    <w:t>280</w:t>
                  </w:r>
                  <w:r w:rsidR="00230DED" w:rsidRPr="00230DED">
                    <w:rPr>
                      <w:rFonts w:cs="Times New Roman"/>
                      <w:kern w:val="2"/>
                    </w:rPr>
                    <w:t>*</w:t>
                  </w:r>
                  <w:r w:rsidRPr="00230DED">
                    <w:rPr>
                      <w:rFonts w:cs="Times New Roman"/>
                      <w:kern w:val="2"/>
                    </w:rPr>
                    <w:t>280</w:t>
                  </w:r>
                </w:p>
              </w:tc>
            </w:tr>
            <w:tr w:rsidR="00420BC5" w:rsidRPr="00230DED">
              <w:trPr>
                <w:cantSplit/>
                <w:trHeight w:val="568"/>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3</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230DED" w:rsidP="006D45A9">
                  <w:pPr>
                    <w:pStyle w:val="reader-word-layer"/>
                    <w:shd w:val="clear" w:color="auto" w:fill="FFFFFF"/>
                    <w:spacing w:before="0" w:beforeAutospacing="0" w:after="0" w:afterAutospacing="0"/>
                    <w:jc w:val="center"/>
                    <w:rPr>
                      <w:rFonts w:cs="Times New Roman"/>
                      <w:kern w:val="2"/>
                    </w:rPr>
                  </w:pPr>
                  <w:r w:rsidRPr="00230DED">
                    <w:rPr>
                      <w:rFonts w:hint="eastAsia"/>
                    </w:rPr>
                    <w:t>八</w:t>
                  </w:r>
                  <w:r w:rsidR="006B082A" w:rsidRPr="00230DED">
                    <w:rPr>
                      <w:rFonts w:cs="Times New Roman"/>
                      <w:kern w:val="2"/>
                    </w:rPr>
                    <w:t>号楼空调采暖</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1100</w:t>
                  </w:r>
                  <w:r w:rsidR="00230DED" w:rsidRPr="00230DED">
                    <w:rPr>
                      <w:rFonts w:cs="Times New Roman"/>
                      <w:kern w:val="2"/>
                    </w:rPr>
                    <w:t>*</w:t>
                  </w:r>
                  <w:r w:rsidRPr="00230DED">
                    <w:rPr>
                      <w:rFonts w:cs="Times New Roman"/>
                      <w:kern w:val="2"/>
                    </w:rPr>
                    <w:t>350</w:t>
                  </w:r>
                  <w:r w:rsidR="00230DED" w:rsidRPr="00230DED">
                    <w:rPr>
                      <w:rFonts w:cs="Times New Roman"/>
                      <w:kern w:val="2"/>
                    </w:rPr>
                    <w:t>*</w:t>
                  </w:r>
                  <w:r w:rsidRPr="00230DED">
                    <w:rPr>
                      <w:rFonts w:cs="Times New Roman"/>
                      <w:kern w:val="2"/>
                    </w:rPr>
                    <w:t>350</w:t>
                  </w:r>
                </w:p>
              </w:tc>
            </w:tr>
            <w:tr w:rsidR="00420BC5" w:rsidRPr="00230DED">
              <w:trPr>
                <w:cantSplit/>
                <w:trHeight w:val="568"/>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4</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230DED"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一</w:t>
                  </w:r>
                  <w:r w:rsidR="006B082A" w:rsidRPr="00230DED">
                    <w:rPr>
                      <w:rFonts w:cs="Times New Roman"/>
                      <w:kern w:val="2"/>
                    </w:rPr>
                    <w:t>号楼2</w:t>
                  </w:r>
                  <w:r w:rsidRPr="00230DED">
                    <w:rPr>
                      <w:rFonts w:cs="Times New Roman"/>
                      <w:kern w:val="2"/>
                    </w:rPr>
                    <w:t>号</w:t>
                  </w:r>
                  <w:r w:rsidR="006B082A" w:rsidRPr="00230DED">
                    <w:rPr>
                      <w:rFonts w:cs="Times New Roman"/>
                      <w:kern w:val="2"/>
                    </w:rPr>
                    <w:t>低区热水</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1700</w:t>
                  </w:r>
                  <w:r w:rsidR="00230DED" w:rsidRPr="00230DED">
                    <w:rPr>
                      <w:rFonts w:cs="Times New Roman"/>
                      <w:kern w:val="2"/>
                    </w:rPr>
                    <w:t>*</w:t>
                  </w:r>
                  <w:r w:rsidRPr="00230DED">
                    <w:rPr>
                      <w:rFonts w:cs="Times New Roman"/>
                      <w:kern w:val="2"/>
                    </w:rPr>
                    <w:t>320</w:t>
                  </w:r>
                  <w:r w:rsidR="00230DED" w:rsidRPr="00230DED">
                    <w:rPr>
                      <w:rFonts w:cs="Times New Roman"/>
                      <w:kern w:val="2"/>
                    </w:rPr>
                    <w:t>*</w:t>
                  </w:r>
                  <w:r w:rsidRPr="00230DED">
                    <w:rPr>
                      <w:rFonts w:cs="Times New Roman"/>
                      <w:kern w:val="2"/>
                    </w:rPr>
                    <w:t>320</w:t>
                  </w:r>
                </w:p>
              </w:tc>
            </w:tr>
            <w:tr w:rsidR="00420BC5" w:rsidRPr="00230DED">
              <w:trPr>
                <w:cantSplit/>
                <w:trHeight w:val="568"/>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5</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230DED"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九</w:t>
                  </w:r>
                  <w:r w:rsidR="006B082A" w:rsidRPr="00230DED">
                    <w:rPr>
                      <w:rFonts w:cs="Times New Roman"/>
                      <w:kern w:val="2"/>
                    </w:rPr>
                    <w:t>号楼1</w:t>
                  </w:r>
                  <w:r w:rsidRPr="00230DED">
                    <w:rPr>
                      <w:rFonts w:cs="Times New Roman"/>
                      <w:kern w:val="2"/>
                    </w:rPr>
                    <w:t>号</w:t>
                  </w:r>
                  <w:r w:rsidR="006B082A" w:rsidRPr="00230DED">
                    <w:rPr>
                      <w:rFonts w:cs="Times New Roman"/>
                      <w:kern w:val="2"/>
                    </w:rPr>
                    <w:t>高区热水</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1700</w:t>
                  </w:r>
                  <w:r w:rsidR="00230DED" w:rsidRPr="00230DED">
                    <w:rPr>
                      <w:rFonts w:cs="Times New Roman"/>
                      <w:kern w:val="2"/>
                    </w:rPr>
                    <w:t>*</w:t>
                  </w:r>
                  <w:r w:rsidRPr="00230DED">
                    <w:rPr>
                      <w:rFonts w:cs="Times New Roman"/>
                      <w:kern w:val="2"/>
                    </w:rPr>
                    <w:t>320</w:t>
                  </w:r>
                  <w:r w:rsidR="00230DED" w:rsidRPr="00230DED">
                    <w:rPr>
                      <w:rFonts w:cs="Times New Roman"/>
                      <w:kern w:val="2"/>
                    </w:rPr>
                    <w:t>*</w:t>
                  </w:r>
                  <w:r w:rsidRPr="00230DED">
                    <w:rPr>
                      <w:rFonts w:cs="Times New Roman"/>
                      <w:kern w:val="2"/>
                    </w:rPr>
                    <w:t>320</w:t>
                  </w:r>
                </w:p>
              </w:tc>
            </w:tr>
            <w:tr w:rsidR="00420BC5" w:rsidRPr="00230DED">
              <w:trPr>
                <w:cantSplit/>
                <w:trHeight w:val="568"/>
              </w:trPr>
              <w:tc>
                <w:tcPr>
                  <w:tcW w:w="101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6</w:t>
                  </w:r>
                </w:p>
              </w:tc>
              <w:tc>
                <w:tcPr>
                  <w:tcW w:w="2537"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医技楼1号空调采暖</w:t>
                  </w:r>
                </w:p>
              </w:tc>
              <w:tc>
                <w:tcPr>
                  <w:tcW w:w="3275" w:type="dxa"/>
                  <w:tcBorders>
                    <w:top w:val="single" w:sz="4" w:space="0" w:color="auto"/>
                    <w:left w:val="single" w:sz="4" w:space="0" w:color="auto"/>
                    <w:bottom w:val="single" w:sz="4" w:space="0" w:color="auto"/>
                    <w:right w:val="single" w:sz="4" w:space="0" w:color="auto"/>
                  </w:tcBorders>
                  <w:vAlign w:val="center"/>
                </w:tcPr>
                <w:p w:rsidR="00420BC5" w:rsidRPr="00230DED" w:rsidRDefault="006B082A" w:rsidP="006D45A9">
                  <w:pPr>
                    <w:pStyle w:val="reader-word-layer"/>
                    <w:shd w:val="clear" w:color="auto" w:fill="FFFFFF"/>
                    <w:spacing w:before="0" w:beforeAutospacing="0" w:after="0" w:afterAutospacing="0"/>
                    <w:jc w:val="center"/>
                    <w:rPr>
                      <w:rFonts w:cs="Times New Roman"/>
                      <w:kern w:val="2"/>
                    </w:rPr>
                  </w:pPr>
                  <w:r w:rsidRPr="00230DED">
                    <w:rPr>
                      <w:rFonts w:cs="Times New Roman"/>
                      <w:kern w:val="2"/>
                    </w:rPr>
                    <w:t>1300</w:t>
                  </w:r>
                  <w:r w:rsidR="00230DED" w:rsidRPr="00230DED">
                    <w:rPr>
                      <w:rFonts w:cs="Times New Roman"/>
                      <w:kern w:val="2"/>
                    </w:rPr>
                    <w:t>*</w:t>
                  </w:r>
                  <w:r w:rsidRPr="00230DED">
                    <w:rPr>
                      <w:rFonts w:cs="Times New Roman"/>
                      <w:kern w:val="2"/>
                    </w:rPr>
                    <w:t>510</w:t>
                  </w:r>
                  <w:r w:rsidR="00230DED" w:rsidRPr="00230DED">
                    <w:rPr>
                      <w:rFonts w:cs="Times New Roman"/>
                      <w:kern w:val="2"/>
                    </w:rPr>
                    <w:t>*</w:t>
                  </w:r>
                  <w:r w:rsidRPr="00230DED">
                    <w:rPr>
                      <w:rFonts w:cs="Times New Roman"/>
                      <w:kern w:val="2"/>
                    </w:rPr>
                    <w:t>510</w:t>
                  </w:r>
                </w:p>
              </w:tc>
            </w:tr>
          </w:tbl>
          <w:p w:rsidR="00420BC5" w:rsidRPr="00230DED" w:rsidRDefault="00420BC5" w:rsidP="006D45A9">
            <w:pPr>
              <w:pStyle w:val="reader-word-layer"/>
              <w:shd w:val="clear" w:color="auto" w:fill="FFFFFF"/>
              <w:spacing w:before="0" w:beforeAutospacing="0" w:after="0" w:afterAutospacing="0"/>
              <w:rPr>
                <w:rFonts w:cs="Times New Roman"/>
                <w:kern w:val="2"/>
                <w:highlight w:val="red"/>
              </w:rPr>
            </w:pPr>
          </w:p>
        </w:tc>
      </w:tr>
    </w:tbl>
    <w:p w:rsidR="00420BC5" w:rsidRPr="006D45A9" w:rsidRDefault="006B082A" w:rsidP="006D45A9">
      <w:pPr>
        <w:widowControl/>
        <w:shd w:val="clear" w:color="auto" w:fill="FFFFFF"/>
        <w:ind w:firstLineChars="196" w:firstLine="470"/>
        <w:outlineLvl w:val="1"/>
        <w:rPr>
          <w:rFonts w:hAnsi="宋体"/>
          <w:bCs/>
          <w:kern w:val="0"/>
          <w:sz w:val="24"/>
          <w:szCs w:val="24"/>
          <w:shd w:val="clear" w:color="auto" w:fill="FFFFFF"/>
        </w:rPr>
      </w:pPr>
      <w:r w:rsidRPr="006D45A9">
        <w:rPr>
          <w:rFonts w:hAnsi="宋体"/>
          <w:bCs/>
          <w:kern w:val="0"/>
          <w:sz w:val="24"/>
          <w:szCs w:val="24"/>
          <w:shd w:val="clear" w:color="auto" w:fill="FFFFFF"/>
        </w:rPr>
        <w:t>4.4文件要求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7607"/>
      </w:tblGrid>
      <w:tr w:rsidR="00420BC5" w:rsidRPr="00230DED">
        <w:trPr>
          <w:cantSplit/>
          <w:trHeight w:val="397"/>
          <w:tblHeader/>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序号</w:t>
            </w:r>
          </w:p>
        </w:tc>
        <w:tc>
          <w:tcPr>
            <w:tcW w:w="7607" w:type="dxa"/>
            <w:noWrap/>
            <w:vAlign w:val="center"/>
          </w:tcPr>
          <w:p w:rsidR="00420BC5" w:rsidRPr="00230DED" w:rsidRDefault="006B082A" w:rsidP="006D45A9">
            <w:pPr>
              <w:pStyle w:val="reader-word-layer"/>
              <w:spacing w:before="0" w:beforeAutospacing="0" w:after="0" w:afterAutospacing="0"/>
              <w:jc w:val="center"/>
              <w:rPr>
                <w:rFonts w:cs="Times New Roman"/>
                <w:b/>
                <w:kern w:val="2"/>
              </w:rPr>
            </w:pPr>
            <w:r w:rsidRPr="00230DED">
              <w:rPr>
                <w:rFonts w:cs="Times New Roman"/>
                <w:b/>
                <w:kern w:val="2"/>
              </w:rPr>
              <w:t>URS要求内容</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1</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投标人为代理商的须提供制造商授权证书。</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2</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投标人须提供制造商的压力容器制造许可资质证书。</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3</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投标人须提供除上述1、2以外的其它资质及证明性文件。</w:t>
            </w:r>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lastRenderedPageBreak/>
              <w:t>4</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投标人提供所投产品的外形尺寸图。</w:t>
            </w:r>
            <w:bookmarkStart w:id="0" w:name="_GoBack"/>
            <w:bookmarkEnd w:id="0"/>
          </w:p>
        </w:tc>
      </w:tr>
      <w:tr w:rsidR="00420BC5" w:rsidRPr="00230DED">
        <w:trPr>
          <w:cantSplit/>
          <w:trHeight w:val="567"/>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5</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投标人应提供各工况条件的《选型计算书》。</w:t>
            </w:r>
          </w:p>
        </w:tc>
      </w:tr>
      <w:tr w:rsidR="00420BC5" w:rsidRPr="00230DED">
        <w:trPr>
          <w:cantSplit/>
          <w:trHeight w:val="1140"/>
          <w:jc w:val="center"/>
        </w:trPr>
        <w:tc>
          <w:tcPr>
            <w:tcW w:w="1040" w:type="dxa"/>
            <w:noWrap/>
            <w:vAlign w:val="center"/>
          </w:tcPr>
          <w:p w:rsidR="00420BC5" w:rsidRPr="00230DED" w:rsidRDefault="006B082A" w:rsidP="006D45A9">
            <w:pPr>
              <w:pStyle w:val="reader-word-layer"/>
              <w:spacing w:before="0" w:beforeAutospacing="0" w:after="0" w:afterAutospacing="0"/>
              <w:jc w:val="center"/>
              <w:rPr>
                <w:rFonts w:cs="Times New Roman"/>
                <w:kern w:val="2"/>
              </w:rPr>
            </w:pPr>
            <w:r w:rsidRPr="00230DED">
              <w:rPr>
                <w:rFonts w:cs="Times New Roman"/>
                <w:kern w:val="2"/>
              </w:rPr>
              <w:t>6</w:t>
            </w:r>
          </w:p>
        </w:tc>
        <w:tc>
          <w:tcPr>
            <w:tcW w:w="7607" w:type="dxa"/>
            <w:noWrap/>
            <w:vAlign w:val="center"/>
          </w:tcPr>
          <w:p w:rsidR="00420BC5" w:rsidRPr="00230DED" w:rsidRDefault="006B082A" w:rsidP="006D45A9">
            <w:pPr>
              <w:pStyle w:val="reader-word-layer"/>
              <w:shd w:val="clear" w:color="auto" w:fill="FFFFFF"/>
              <w:spacing w:before="0" w:beforeAutospacing="0" w:after="0" w:afterAutospacing="0"/>
              <w:rPr>
                <w:rFonts w:cs="Times New Roman"/>
                <w:kern w:val="2"/>
              </w:rPr>
            </w:pPr>
            <w:r w:rsidRPr="00230DED">
              <w:rPr>
                <w:rFonts w:cs="Times New Roman"/>
                <w:kern w:val="2"/>
              </w:rPr>
              <w:t>提供产品安装、使用维护说明书（内容包括但不限于）：产品名称、型号规格、传热面积；产品主要构件的材料；产品运行、维护、故障排除说明书。</w:t>
            </w:r>
          </w:p>
        </w:tc>
      </w:tr>
    </w:tbl>
    <w:p w:rsidR="00420BC5" w:rsidRPr="00146342" w:rsidRDefault="006B082A" w:rsidP="00146342">
      <w:pPr>
        <w:widowControl/>
        <w:shd w:val="clear" w:color="auto" w:fill="FFFFFF"/>
        <w:ind w:firstLineChars="196" w:firstLine="472"/>
        <w:outlineLvl w:val="1"/>
        <w:rPr>
          <w:rFonts w:hAnsi="宋体"/>
          <w:b/>
          <w:bCs/>
          <w:kern w:val="0"/>
          <w:sz w:val="24"/>
          <w:szCs w:val="24"/>
          <w:shd w:val="clear" w:color="auto" w:fill="FFFFFF"/>
        </w:rPr>
      </w:pPr>
      <w:bookmarkStart w:id="1" w:name="_Toc389620198"/>
      <w:bookmarkStart w:id="2" w:name="_Toc385992359"/>
      <w:r w:rsidRPr="00146342">
        <w:rPr>
          <w:rFonts w:hAnsi="宋体"/>
          <w:b/>
          <w:bCs/>
          <w:kern w:val="0"/>
          <w:sz w:val="24"/>
          <w:szCs w:val="24"/>
          <w:shd w:val="clear" w:color="auto" w:fill="FFFFFF"/>
        </w:rPr>
        <w:t>三、评标标准</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477"/>
        <w:gridCol w:w="1119"/>
        <w:gridCol w:w="5192"/>
      </w:tblGrid>
      <w:tr w:rsidR="00420BC5" w:rsidRPr="00961FE2">
        <w:trPr>
          <w:trHeight w:val="792"/>
          <w:jc w:val="center"/>
        </w:trPr>
        <w:tc>
          <w:tcPr>
            <w:tcW w:w="876" w:type="dxa"/>
            <w:noWrap/>
            <w:vAlign w:val="center"/>
          </w:tcPr>
          <w:p w:rsidR="00420BC5" w:rsidRPr="00961FE2" w:rsidRDefault="006B082A" w:rsidP="00B668BA">
            <w:pPr>
              <w:adjustRightInd w:val="0"/>
              <w:snapToGrid w:val="0"/>
              <w:jc w:val="center"/>
              <w:rPr>
                <w:rFonts w:hAnsi="宋体"/>
                <w:b/>
                <w:snapToGrid w:val="0"/>
                <w:sz w:val="24"/>
                <w:szCs w:val="24"/>
              </w:rPr>
            </w:pPr>
            <w:r w:rsidRPr="00961FE2">
              <w:rPr>
                <w:rFonts w:hAnsi="宋体"/>
                <w:b/>
                <w:snapToGrid w:val="0"/>
                <w:sz w:val="24"/>
                <w:szCs w:val="24"/>
              </w:rPr>
              <w:t>序号</w:t>
            </w:r>
          </w:p>
        </w:tc>
        <w:tc>
          <w:tcPr>
            <w:tcW w:w="1477" w:type="dxa"/>
            <w:noWrap/>
            <w:vAlign w:val="center"/>
          </w:tcPr>
          <w:p w:rsidR="00420BC5" w:rsidRPr="00961FE2" w:rsidRDefault="006B082A" w:rsidP="00B668BA">
            <w:pPr>
              <w:adjustRightInd w:val="0"/>
              <w:snapToGrid w:val="0"/>
              <w:jc w:val="center"/>
              <w:rPr>
                <w:rFonts w:hAnsi="宋体"/>
                <w:b/>
                <w:snapToGrid w:val="0"/>
                <w:sz w:val="24"/>
                <w:szCs w:val="24"/>
              </w:rPr>
            </w:pPr>
            <w:r w:rsidRPr="00961FE2">
              <w:rPr>
                <w:rFonts w:hAnsi="宋体"/>
                <w:b/>
                <w:snapToGrid w:val="0"/>
                <w:sz w:val="24"/>
                <w:szCs w:val="24"/>
              </w:rPr>
              <w:t>项目内容</w:t>
            </w:r>
          </w:p>
        </w:tc>
        <w:tc>
          <w:tcPr>
            <w:tcW w:w="1119" w:type="dxa"/>
            <w:noWrap/>
            <w:vAlign w:val="center"/>
          </w:tcPr>
          <w:p w:rsidR="00420BC5" w:rsidRPr="00961FE2" w:rsidRDefault="006B082A" w:rsidP="00B668BA">
            <w:pPr>
              <w:adjustRightInd w:val="0"/>
              <w:snapToGrid w:val="0"/>
              <w:jc w:val="center"/>
              <w:rPr>
                <w:rFonts w:hAnsi="宋体"/>
                <w:b/>
                <w:snapToGrid w:val="0"/>
                <w:sz w:val="24"/>
                <w:szCs w:val="24"/>
              </w:rPr>
            </w:pPr>
            <w:r w:rsidRPr="00961FE2">
              <w:rPr>
                <w:rFonts w:hAnsi="宋体"/>
                <w:b/>
                <w:snapToGrid w:val="0"/>
                <w:sz w:val="24"/>
                <w:szCs w:val="24"/>
              </w:rPr>
              <w:t>基准分</w:t>
            </w:r>
          </w:p>
        </w:tc>
        <w:tc>
          <w:tcPr>
            <w:tcW w:w="5192" w:type="dxa"/>
            <w:noWrap/>
            <w:vAlign w:val="center"/>
          </w:tcPr>
          <w:p w:rsidR="00420BC5" w:rsidRPr="00961FE2" w:rsidRDefault="006B082A" w:rsidP="00B668BA">
            <w:pPr>
              <w:adjustRightInd w:val="0"/>
              <w:snapToGrid w:val="0"/>
              <w:jc w:val="center"/>
              <w:rPr>
                <w:rFonts w:hAnsi="宋体"/>
                <w:b/>
                <w:snapToGrid w:val="0"/>
                <w:sz w:val="24"/>
                <w:szCs w:val="24"/>
              </w:rPr>
            </w:pPr>
            <w:r w:rsidRPr="00961FE2">
              <w:rPr>
                <w:rFonts w:hAnsi="宋体"/>
                <w:b/>
                <w:snapToGrid w:val="0"/>
                <w:sz w:val="24"/>
                <w:szCs w:val="24"/>
              </w:rPr>
              <w:t>评分依据或标准</w:t>
            </w:r>
          </w:p>
        </w:tc>
      </w:tr>
      <w:tr w:rsidR="00420BC5" w:rsidRPr="00B668BA">
        <w:trPr>
          <w:trHeight w:val="792"/>
          <w:jc w:val="center"/>
        </w:trPr>
        <w:tc>
          <w:tcPr>
            <w:tcW w:w="876"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1</w:t>
            </w:r>
          </w:p>
        </w:tc>
        <w:tc>
          <w:tcPr>
            <w:tcW w:w="1477"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投标报价</w:t>
            </w:r>
          </w:p>
        </w:tc>
        <w:tc>
          <w:tcPr>
            <w:tcW w:w="1119"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50</w:t>
            </w:r>
          </w:p>
        </w:tc>
        <w:tc>
          <w:tcPr>
            <w:tcW w:w="5192" w:type="dxa"/>
            <w:noWrap/>
            <w:vAlign w:val="center"/>
          </w:tcPr>
          <w:p w:rsidR="00420BC5" w:rsidRPr="00B668BA" w:rsidRDefault="006B082A" w:rsidP="00B668BA">
            <w:pPr>
              <w:adjustRightInd w:val="0"/>
              <w:snapToGrid w:val="0"/>
              <w:rPr>
                <w:rFonts w:hAnsi="宋体"/>
                <w:snapToGrid w:val="0"/>
                <w:sz w:val="24"/>
                <w:szCs w:val="24"/>
              </w:rPr>
            </w:pPr>
            <w:r w:rsidRPr="00B668BA">
              <w:rPr>
                <w:rFonts w:hAnsi="宋体"/>
                <w:snapToGrid w:val="0"/>
                <w:sz w:val="24"/>
                <w:szCs w:val="24"/>
              </w:rPr>
              <w:t>以满足招标文件要求的最低价为基准价，得50分，其他投标人的价格分统一按照下列公式计算：报价得分=（基准价/报价）×50分。</w:t>
            </w:r>
          </w:p>
        </w:tc>
      </w:tr>
      <w:tr w:rsidR="00420BC5" w:rsidRPr="00961FE2">
        <w:trPr>
          <w:trHeight w:val="904"/>
          <w:jc w:val="center"/>
        </w:trPr>
        <w:tc>
          <w:tcPr>
            <w:tcW w:w="876"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2</w:t>
            </w:r>
          </w:p>
        </w:tc>
        <w:tc>
          <w:tcPr>
            <w:tcW w:w="1477"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URS响应性</w:t>
            </w:r>
          </w:p>
        </w:tc>
        <w:tc>
          <w:tcPr>
            <w:tcW w:w="1119"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35</w:t>
            </w:r>
          </w:p>
        </w:tc>
        <w:tc>
          <w:tcPr>
            <w:tcW w:w="5192" w:type="dxa"/>
            <w:noWrap/>
            <w:vAlign w:val="center"/>
          </w:tcPr>
          <w:p w:rsidR="00420BC5" w:rsidRPr="00961FE2" w:rsidRDefault="006B082A" w:rsidP="00B668BA">
            <w:pPr>
              <w:adjustRightInd w:val="0"/>
              <w:snapToGrid w:val="0"/>
              <w:rPr>
                <w:rFonts w:hAnsi="宋体"/>
                <w:snapToGrid w:val="0"/>
                <w:sz w:val="24"/>
                <w:szCs w:val="24"/>
              </w:rPr>
            </w:pPr>
            <w:r w:rsidRPr="00961FE2">
              <w:rPr>
                <w:rFonts w:hAnsi="宋体"/>
                <w:snapToGrid w:val="0"/>
                <w:sz w:val="24"/>
                <w:szCs w:val="24"/>
              </w:rPr>
              <w:t>根据URS技术需求的响应情况，优得25-35分，良得15-25，一般得5-15分</w:t>
            </w:r>
            <w:r w:rsidRPr="00961FE2">
              <w:rPr>
                <w:rFonts w:hAnsi="宋体" w:hint="eastAsia"/>
                <w:snapToGrid w:val="0"/>
                <w:sz w:val="24"/>
                <w:szCs w:val="24"/>
              </w:rPr>
              <w:t>，不响应不得分</w:t>
            </w:r>
            <w:r w:rsidRPr="00961FE2">
              <w:rPr>
                <w:rFonts w:hAnsi="宋体"/>
                <w:snapToGrid w:val="0"/>
                <w:sz w:val="24"/>
                <w:szCs w:val="24"/>
              </w:rPr>
              <w:t>。</w:t>
            </w:r>
          </w:p>
        </w:tc>
      </w:tr>
      <w:tr w:rsidR="00420BC5" w:rsidRPr="00961FE2">
        <w:trPr>
          <w:trHeight w:val="807"/>
          <w:jc w:val="center"/>
        </w:trPr>
        <w:tc>
          <w:tcPr>
            <w:tcW w:w="876" w:type="dxa"/>
            <w:noWrap/>
            <w:vAlign w:val="center"/>
          </w:tcPr>
          <w:p w:rsidR="00420BC5" w:rsidRPr="00B668BA" w:rsidRDefault="006B082A" w:rsidP="00B668BA">
            <w:pPr>
              <w:adjustRightInd w:val="0"/>
              <w:snapToGrid w:val="0"/>
              <w:jc w:val="center"/>
              <w:rPr>
                <w:rFonts w:hAnsi="宋体"/>
                <w:snapToGrid w:val="0"/>
                <w:sz w:val="24"/>
                <w:szCs w:val="24"/>
              </w:rPr>
            </w:pPr>
            <w:r w:rsidRPr="00B668BA">
              <w:rPr>
                <w:rFonts w:hAnsi="宋体"/>
                <w:snapToGrid w:val="0"/>
                <w:sz w:val="24"/>
                <w:szCs w:val="24"/>
              </w:rPr>
              <w:t>3</w:t>
            </w:r>
          </w:p>
        </w:tc>
        <w:tc>
          <w:tcPr>
            <w:tcW w:w="1477"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质保期及售后服务</w:t>
            </w:r>
          </w:p>
        </w:tc>
        <w:tc>
          <w:tcPr>
            <w:tcW w:w="1119"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10</w:t>
            </w:r>
          </w:p>
        </w:tc>
        <w:tc>
          <w:tcPr>
            <w:tcW w:w="5192" w:type="dxa"/>
            <w:noWrap/>
            <w:vAlign w:val="center"/>
          </w:tcPr>
          <w:p w:rsidR="00420BC5" w:rsidRPr="00961FE2" w:rsidRDefault="006B082A" w:rsidP="00B668BA">
            <w:pPr>
              <w:adjustRightInd w:val="0"/>
              <w:snapToGrid w:val="0"/>
              <w:rPr>
                <w:rFonts w:hAnsi="宋体"/>
                <w:snapToGrid w:val="0"/>
                <w:sz w:val="24"/>
                <w:szCs w:val="24"/>
              </w:rPr>
            </w:pPr>
            <w:r w:rsidRPr="00961FE2">
              <w:rPr>
                <w:rFonts w:hAnsi="宋体"/>
                <w:snapToGrid w:val="0"/>
                <w:sz w:val="24"/>
                <w:szCs w:val="24"/>
              </w:rPr>
              <w:t>免费质保期一年，每增加一年得1分，满分5分；</w:t>
            </w:r>
          </w:p>
          <w:p w:rsidR="00420BC5" w:rsidRPr="00961FE2" w:rsidRDefault="006B082A" w:rsidP="00B668BA">
            <w:pPr>
              <w:adjustRightInd w:val="0"/>
              <w:snapToGrid w:val="0"/>
              <w:rPr>
                <w:rFonts w:hAnsi="宋体"/>
                <w:snapToGrid w:val="0"/>
                <w:sz w:val="24"/>
                <w:szCs w:val="24"/>
              </w:rPr>
            </w:pPr>
            <w:r w:rsidRPr="00961FE2">
              <w:rPr>
                <w:rFonts w:hAnsi="宋体"/>
                <w:snapToGrid w:val="0"/>
                <w:sz w:val="24"/>
                <w:szCs w:val="24"/>
              </w:rPr>
              <w:t>售后服务及培训方案，优得4-5分，良得2-3分，一般得1-2分。</w:t>
            </w:r>
          </w:p>
        </w:tc>
      </w:tr>
      <w:tr w:rsidR="00420BC5" w:rsidRPr="00961FE2" w:rsidTr="00B668BA">
        <w:trPr>
          <w:trHeight w:val="721"/>
          <w:jc w:val="center"/>
        </w:trPr>
        <w:tc>
          <w:tcPr>
            <w:tcW w:w="876"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4</w:t>
            </w:r>
          </w:p>
        </w:tc>
        <w:tc>
          <w:tcPr>
            <w:tcW w:w="1477"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供货期</w:t>
            </w:r>
          </w:p>
        </w:tc>
        <w:tc>
          <w:tcPr>
            <w:tcW w:w="1119" w:type="dxa"/>
            <w:noWrap/>
            <w:vAlign w:val="center"/>
          </w:tcPr>
          <w:p w:rsidR="00420BC5" w:rsidRPr="00961FE2" w:rsidRDefault="006B082A" w:rsidP="00B668BA">
            <w:pPr>
              <w:adjustRightInd w:val="0"/>
              <w:snapToGrid w:val="0"/>
              <w:jc w:val="center"/>
              <w:rPr>
                <w:rFonts w:hAnsi="宋体"/>
                <w:snapToGrid w:val="0"/>
                <w:sz w:val="24"/>
                <w:szCs w:val="24"/>
              </w:rPr>
            </w:pPr>
            <w:r w:rsidRPr="00961FE2">
              <w:rPr>
                <w:rFonts w:hAnsi="宋体"/>
                <w:snapToGrid w:val="0"/>
                <w:sz w:val="24"/>
                <w:szCs w:val="24"/>
              </w:rPr>
              <w:t>5</w:t>
            </w:r>
          </w:p>
        </w:tc>
        <w:tc>
          <w:tcPr>
            <w:tcW w:w="5192" w:type="dxa"/>
            <w:noWrap/>
            <w:vAlign w:val="center"/>
          </w:tcPr>
          <w:p w:rsidR="00B03CC0" w:rsidRPr="00B668BA" w:rsidRDefault="00B03CC0" w:rsidP="00B668BA">
            <w:pPr>
              <w:adjustRightInd w:val="0"/>
              <w:snapToGrid w:val="0"/>
              <w:rPr>
                <w:rFonts w:hAnsi="宋体"/>
                <w:snapToGrid w:val="0"/>
                <w:sz w:val="24"/>
                <w:szCs w:val="24"/>
              </w:rPr>
            </w:pPr>
            <w:r w:rsidRPr="00B668BA">
              <w:rPr>
                <w:rFonts w:hAnsi="宋体" w:hint="eastAsia"/>
                <w:snapToGrid w:val="0"/>
                <w:sz w:val="24"/>
                <w:szCs w:val="24"/>
              </w:rPr>
              <w:t>甲方通知后30日内完成供货，在此基础上承诺每提前4天加1分，最高5分</w:t>
            </w:r>
            <w:r w:rsidR="00B668BA">
              <w:rPr>
                <w:rFonts w:hAnsi="宋体" w:hint="eastAsia"/>
                <w:snapToGrid w:val="0"/>
                <w:sz w:val="24"/>
                <w:szCs w:val="24"/>
              </w:rPr>
              <w:t>。</w:t>
            </w:r>
          </w:p>
        </w:tc>
      </w:tr>
    </w:tbl>
    <w:bookmarkEnd w:id="1"/>
    <w:bookmarkEnd w:id="2"/>
    <w:p w:rsidR="00420BC5" w:rsidRDefault="006B082A" w:rsidP="006D45A9">
      <w:pPr>
        <w:widowControl/>
        <w:shd w:val="clear" w:color="auto" w:fill="FFFFFF"/>
        <w:ind w:firstLineChars="196" w:firstLine="472"/>
        <w:outlineLvl w:val="1"/>
        <w:rPr>
          <w:rFonts w:ascii="Times New Roman" w:hAnsi="Times New Roman"/>
        </w:rPr>
      </w:pPr>
      <w:r w:rsidRPr="006D45A9">
        <w:rPr>
          <w:rFonts w:hAnsi="宋体"/>
          <w:b/>
          <w:bCs/>
          <w:kern w:val="0"/>
          <w:sz w:val="24"/>
          <w:szCs w:val="24"/>
          <w:shd w:val="clear" w:color="auto" w:fill="FFFFFF"/>
        </w:rPr>
        <w:t>标书装订成册，一式三份，密封提交。</w:t>
      </w:r>
    </w:p>
    <w:sectPr w:rsidR="00420BC5" w:rsidSect="00420BC5">
      <w:pgSz w:w="11909" w:h="16834"/>
      <w:pgMar w:top="1134" w:right="1418" w:bottom="1134" w:left="1418" w:header="578"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86" w:rsidRDefault="00CA4B86" w:rsidP="006D45A9">
      <w:r>
        <w:separator/>
      </w:r>
    </w:p>
  </w:endnote>
  <w:endnote w:type="continuationSeparator" w:id="1">
    <w:p w:rsidR="00CA4B86" w:rsidRDefault="00CA4B86" w:rsidP="006D4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86" w:rsidRDefault="00CA4B86" w:rsidP="006D45A9">
      <w:r>
        <w:separator/>
      </w:r>
    </w:p>
  </w:footnote>
  <w:footnote w:type="continuationSeparator" w:id="1">
    <w:p w:rsidR="00CA4B86" w:rsidRDefault="00CA4B86" w:rsidP="006D45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B00753"/>
    <w:rsid w:val="00146342"/>
    <w:rsid w:val="00230DED"/>
    <w:rsid w:val="00347CE8"/>
    <w:rsid w:val="003A6F19"/>
    <w:rsid w:val="00420BC5"/>
    <w:rsid w:val="004E5F3E"/>
    <w:rsid w:val="005F3D64"/>
    <w:rsid w:val="006B082A"/>
    <w:rsid w:val="006D45A9"/>
    <w:rsid w:val="007524CF"/>
    <w:rsid w:val="00961FE2"/>
    <w:rsid w:val="00A5064B"/>
    <w:rsid w:val="00B03CC0"/>
    <w:rsid w:val="00B31845"/>
    <w:rsid w:val="00B668BA"/>
    <w:rsid w:val="00B73DF0"/>
    <w:rsid w:val="00CA4B86"/>
    <w:rsid w:val="075403A3"/>
    <w:rsid w:val="2FB00753"/>
    <w:rsid w:val="31CE6F33"/>
    <w:rsid w:val="4E3A14BB"/>
    <w:rsid w:val="5D66409A"/>
    <w:rsid w:val="5E0D5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20BC5"/>
    <w:pPr>
      <w:widowControl w:val="0"/>
      <w:jc w:val="both"/>
    </w:pPr>
    <w:rPr>
      <w:rFonts w:ascii="宋体" w:eastAsia="宋体" w:hAnsi="Calibri"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420BC5"/>
    <w:pPr>
      <w:spacing w:after="120"/>
    </w:pPr>
  </w:style>
  <w:style w:type="paragraph" w:customStyle="1" w:styleId="reader-word-layer">
    <w:name w:val="reader-word-layer"/>
    <w:basedOn w:val="a"/>
    <w:qFormat/>
    <w:rsid w:val="00420BC5"/>
    <w:pPr>
      <w:widowControl/>
      <w:spacing w:before="100" w:beforeAutospacing="1" w:after="100" w:afterAutospacing="1"/>
      <w:jc w:val="left"/>
    </w:pPr>
    <w:rPr>
      <w:rFonts w:hAnsi="宋体" w:cs="宋体"/>
      <w:kern w:val="0"/>
      <w:sz w:val="24"/>
      <w:szCs w:val="24"/>
    </w:rPr>
  </w:style>
  <w:style w:type="paragraph" w:styleId="a4">
    <w:name w:val="header"/>
    <w:basedOn w:val="a"/>
    <w:link w:val="Char"/>
    <w:rsid w:val="006D4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D45A9"/>
    <w:rPr>
      <w:rFonts w:ascii="宋体" w:eastAsia="宋体" w:hAnsi="Calibri" w:cs="Times New Roman"/>
      <w:kern w:val="2"/>
      <w:sz w:val="18"/>
      <w:szCs w:val="18"/>
    </w:rPr>
  </w:style>
  <w:style w:type="paragraph" w:styleId="a5">
    <w:name w:val="footer"/>
    <w:basedOn w:val="a"/>
    <w:link w:val="Char0"/>
    <w:rsid w:val="006D45A9"/>
    <w:pPr>
      <w:tabs>
        <w:tab w:val="center" w:pos="4153"/>
        <w:tab w:val="right" w:pos="8306"/>
      </w:tabs>
      <w:snapToGrid w:val="0"/>
      <w:jc w:val="left"/>
    </w:pPr>
    <w:rPr>
      <w:sz w:val="18"/>
      <w:szCs w:val="18"/>
    </w:rPr>
  </w:style>
  <w:style w:type="character" w:customStyle="1" w:styleId="Char0">
    <w:name w:val="页脚 Char"/>
    <w:basedOn w:val="a1"/>
    <w:link w:val="a5"/>
    <w:rsid w:val="006D45A9"/>
    <w:rPr>
      <w:rFonts w:ascii="宋体" w:eastAsia="宋体" w:hAnsi="Calibri" w:cs="Times New Roman"/>
      <w:kern w:val="2"/>
      <w:sz w:val="18"/>
      <w:szCs w:val="18"/>
    </w:rPr>
  </w:style>
  <w:style w:type="character" w:styleId="a6">
    <w:name w:val="Strong"/>
    <w:basedOn w:val="a1"/>
    <w:qFormat/>
    <w:rsid w:val="004E5F3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D7578-06A5-4DEA-931F-0A574599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530</Words>
  <Characters>3026</Characters>
  <Application>Microsoft Office Word</Application>
  <DocSecurity>0</DocSecurity>
  <Lines>25</Lines>
  <Paragraphs>7</Paragraphs>
  <ScaleCrop>false</ScaleCrop>
  <Company>HP Inc.</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dc:creator>
  <cp:lastModifiedBy>sbrmyy</cp:lastModifiedBy>
  <cp:revision>9</cp:revision>
  <dcterms:created xsi:type="dcterms:W3CDTF">2022-03-03T08:08:00Z</dcterms:created>
  <dcterms:modified xsi:type="dcterms:W3CDTF">2022-03-08T09:30:00Z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32737E0CCC4C41F5B9E9B3D1D1BC679B</vt:lpwstr>
  </property>
</Properties>
</file>