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tbl>
      <w:tblPr>
        <w:tblStyle w:val="13"/>
        <w:tblW w:w="8908" w:type="dxa"/>
        <w:jc w:val="center"/>
        <w:tblLayout w:type="fixed"/>
        <w:tblCellMar>
          <w:top w:w="0" w:type="dxa"/>
          <w:left w:w="108" w:type="dxa"/>
          <w:bottom w:w="0" w:type="dxa"/>
          <w:right w:w="108" w:type="dxa"/>
        </w:tblCellMar>
      </w:tblPr>
      <w:tblGrid>
        <w:gridCol w:w="697"/>
        <w:gridCol w:w="1626"/>
        <w:gridCol w:w="1725"/>
        <w:gridCol w:w="1680"/>
        <w:gridCol w:w="660"/>
        <w:gridCol w:w="675"/>
        <w:gridCol w:w="1845"/>
      </w:tblGrid>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分项名称</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型号及规格要求</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数量</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米</w:t>
            </w:r>
            <w:r>
              <w:rPr>
                <w:rFonts w:hint="eastAsia" w:ascii="宋体" w:hAnsi="宋体" w:cs="宋体"/>
                <w:color w:val="000000"/>
                <w:kern w:val="0"/>
                <w:szCs w:val="21"/>
                <w:lang w:eastAsia="zh-CN" w:bidi="ar"/>
              </w:rPr>
              <w:t>）</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备注</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821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r>
              <w:rPr>
                <w:rFonts w:hint="eastAsia" w:ascii="宋体" w:hAnsi="宋体" w:cs="宋体"/>
                <w:b/>
                <w:bCs/>
                <w:color w:val="000000"/>
                <w:kern w:val="0"/>
                <w:szCs w:val="21"/>
                <w:lang w:bidi="ar"/>
              </w:rPr>
              <w:t>设备部分</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格力室外机</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GMV-504WM</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rPr>
            </w:pPr>
            <w:r>
              <w:rPr>
                <w:rFonts w:hint="eastAsia" w:ascii="宋体" w:hAnsi="宋体" w:cs="宋体"/>
              </w:rPr>
              <w:t>制冷量：50.4KW</w:t>
            </w:r>
          </w:p>
          <w:p>
            <w:pPr>
              <w:jc w:val="left"/>
            </w:pPr>
            <w:r>
              <w:rPr>
                <w:rFonts w:hint="eastAsia" w:ascii="宋体" w:hAnsi="宋体" w:cs="宋体"/>
              </w:rPr>
              <w:t>制热量：56.5KW</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变频多联</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二级能效以上</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格力室内机</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GMV-NDR63PS/B1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r>
              <w:rPr>
                <w:rFonts w:hint="eastAsia" w:ascii="宋体" w:hAnsi="宋体" w:cs="宋体"/>
              </w:rPr>
              <w:t>制冷量：6.30KW</w:t>
            </w:r>
          </w:p>
          <w:p>
            <w:pPr>
              <w:rPr>
                <w:rFonts w:hint="eastAsia" w:ascii="宋体" w:hAnsi="宋体" w:cs="宋体"/>
                <w:color w:val="000000"/>
                <w:szCs w:val="21"/>
              </w:rPr>
            </w:pPr>
            <w:r>
              <w:rPr>
                <w:rFonts w:hint="eastAsia" w:ascii="宋体" w:hAnsi="宋体" w:cs="宋体"/>
              </w:rPr>
              <w:t>制热量：7.10KW</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低静压风管机</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线控器</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液晶</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格力</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821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r>
              <w:rPr>
                <w:rFonts w:hint="eastAsia" w:ascii="宋体" w:hAnsi="宋体" w:cs="宋体"/>
                <w:b/>
                <w:bCs/>
                <w:color w:val="000000"/>
                <w:kern w:val="0"/>
                <w:szCs w:val="21"/>
                <w:lang w:bidi="ar"/>
              </w:rPr>
              <w:t>安装部分</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φ28.6 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φ25.4 R41</w:t>
            </w:r>
            <w:r>
              <w:rPr>
                <w:rFonts w:hint="eastAsia" w:ascii="宋体" w:hAnsi="宋体" w:cs="宋体"/>
                <w:lang w:val="en-US" w:eastAsia="zh-CN"/>
              </w:rPr>
              <w:t>0</w:t>
            </w:r>
            <w:r>
              <w:rPr>
                <w:rFonts w:hint="eastAsia" w:ascii="宋体" w:hAnsi="宋体" w:cs="宋体"/>
              </w:rPr>
              <w:t>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φ19.1 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φ15.9 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φ12.7 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铜管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rPr>
              <w:t>φ9.52 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飞轮/含保温</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分歧器</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付</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排水管含保温</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de25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公元</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排水管含保温</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d</w:t>
            </w:r>
            <w:r>
              <w:rPr>
                <w:rFonts w:hint="eastAsia" w:ascii="宋体" w:hAnsi="宋体" w:cs="宋体"/>
                <w:color w:val="000000"/>
                <w:kern w:val="0"/>
                <w:szCs w:val="21"/>
                <w:lang w:bidi="ar"/>
              </w:rPr>
              <w:t>e</w:t>
            </w:r>
            <w:r>
              <w:rPr>
                <w:rFonts w:hint="eastAsia" w:ascii="宋体" w:hAnsi="宋体" w:cs="宋体"/>
                <w:color w:val="000000"/>
                <w:kern w:val="0"/>
                <w:szCs w:val="21"/>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Cs w:val="21"/>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公元</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冷媒加注</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R410A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kg</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室内机信号线</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2x1.0mm2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屏蔽电缆</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帆布软接</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复合风管</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风口利旧安装</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室内机安装费</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室外机安装费</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槽钢基础</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顶出风室外机</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国标</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打孔费</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cs="宋体"/>
                <w:color w:val="000000"/>
                <w:szCs w:val="21"/>
                <w:lang w:eastAsia="zh-CN"/>
              </w:rPr>
            </w:pPr>
            <w:r>
              <w:rPr>
                <w:rFonts w:hint="eastAsia" w:ascii="宋体" w:hAnsi="宋体" w:cs="宋体"/>
                <w:color w:val="000000"/>
                <w:szCs w:val="21"/>
                <w:lang w:val="en-US" w:eastAsia="zh-CN"/>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含外机管道进墙孔</w:t>
            </w: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叉车费</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89"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821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r>
              <w:rPr>
                <w:rFonts w:hint="eastAsia" w:ascii="宋体" w:hAnsi="宋体" w:cs="宋体"/>
                <w:b/>
                <w:bCs/>
                <w:color w:val="000000"/>
                <w:kern w:val="0"/>
                <w:szCs w:val="21"/>
                <w:lang w:bidi="ar"/>
              </w:rPr>
              <w:t>拆除部分</w:t>
            </w:r>
          </w:p>
        </w:tc>
      </w:tr>
      <w:tr>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拆除人工费</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8台设备、阀门、风口、风管、控制器及控制线</w:t>
            </w:r>
          </w:p>
        </w:tc>
        <w:tc>
          <w:tcPr>
            <w:tcW w:w="66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rPr>
            </w:pPr>
            <w:r>
              <w:rPr>
                <w:rFonts w:hint="eastAsia"/>
              </w:rPr>
              <w:t>项</w:t>
            </w:r>
          </w:p>
        </w:tc>
        <w:tc>
          <w:tcPr>
            <w:tcW w:w="675" w:type="dxa"/>
            <w:tcBorders>
              <w:top w:val="single" w:color="000000" w:sz="4" w:space="0"/>
              <w:left w:val="single" w:color="000000" w:sz="4" w:space="0"/>
              <w:bottom w:val="single" w:color="000000" w:sz="4" w:space="0"/>
              <w:right w:val="single" w:color="000000" w:sz="4" w:space="0"/>
            </w:tcBorders>
            <w:noWrap/>
            <w:vAlign w:val="top"/>
          </w:tcPr>
          <w:p>
            <w:pPr>
              <w:jc w:val="center"/>
            </w:pPr>
            <w:r>
              <w:rPr>
                <w:rFonts w:hint="eastAsia"/>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bookmarkStart w:id="1" w:name="_GoBack"/>
            <w:bookmarkEnd w:id="1"/>
          </w:p>
        </w:tc>
      </w:tr>
      <w:tr>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总计（元）</w:t>
            </w:r>
          </w:p>
        </w:tc>
        <w:tc>
          <w:tcPr>
            <w:tcW w:w="3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kern w:val="0"/>
                <w:szCs w:val="21"/>
                <w:lang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kern w:val="0"/>
                <w:szCs w:val="21"/>
                <w:lang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p>
        </w:tc>
      </w:tr>
    </w:tbl>
    <w:p>
      <w:pPr>
        <w:spacing w:line="400" w:lineRule="exact"/>
        <w:rPr>
          <w:rFonts w:ascii="黑体" w:hAnsi="黑体" w:eastAsia="黑体"/>
          <w:b/>
          <w:bCs/>
          <w:sz w:val="24"/>
          <w:szCs w:val="24"/>
        </w:rPr>
      </w:pPr>
    </w:p>
    <w:p>
      <w:pPr>
        <w:outlineLvl w:val="0"/>
        <w:rPr>
          <w:rFonts w:eastAsia="黑体"/>
          <w:bCs/>
          <w:sz w:val="24"/>
          <w:szCs w:val="24"/>
        </w:rPr>
      </w:pPr>
    </w:p>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59F32C6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359</Words>
  <Characters>2052</Characters>
  <Lines>17</Lines>
  <Paragraphs>4</Paragraphs>
  <TotalTime>3</TotalTime>
  <ScaleCrop>false</ScaleCrop>
  <LinksUpToDate>false</LinksUpToDate>
  <CharactersWithSpaces>2407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2024-04-26T06:18:28Z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B2A953376EB74BE9BC905BE599623F9E_12</vt:lpwstr>
  </property>
</Properties>
</file>