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2"/>
        <w:shd w:val="clear" w:color="auto" w:fill="auto"/>
        <w:spacing w:line="400" w:lineRule="exact"/>
        <w:rPr>
          <w:rFonts w:hint="eastAsia" w:ascii="黑体" w:hAnsi="黑体" w:eastAsia="黑体"/>
          <w:b/>
          <w:bCs/>
          <w:sz w:val="24"/>
          <w:szCs w:val="24"/>
        </w:rPr>
      </w:pPr>
    </w:p>
    <w:p w14:paraId="0758189A">
      <w:pPr>
        <w:pStyle w:val="22"/>
        <w:shd w:val="clear" w:color="auto" w:fill="auto"/>
        <w:spacing w:line="400" w:lineRule="exact"/>
        <w:rPr>
          <w:rFonts w:hint="eastAsia" w:ascii="黑体" w:hAnsi="黑体" w:eastAsia="黑体"/>
          <w:b/>
          <w:bCs/>
          <w:sz w:val="24"/>
          <w:szCs w:val="24"/>
        </w:rPr>
      </w:pPr>
    </w:p>
    <w:p w14:paraId="3E309740">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2"/>
        <w:shd w:val="clear" w:color="auto" w:fill="auto"/>
        <w:spacing w:line="400" w:lineRule="exact"/>
        <w:rPr>
          <w:rFonts w:hint="eastAsia" w:ascii="黑体" w:hAnsi="黑体" w:eastAsia="黑体"/>
          <w:b/>
          <w:bCs/>
          <w:sz w:val="24"/>
          <w:szCs w:val="24"/>
        </w:rPr>
      </w:pPr>
    </w:p>
    <w:p w14:paraId="0F85750A">
      <w:pPr>
        <w:pStyle w:val="22"/>
        <w:shd w:val="clear" w:color="auto" w:fill="auto"/>
        <w:spacing w:line="400" w:lineRule="exact"/>
        <w:rPr>
          <w:rFonts w:hint="eastAsia" w:ascii="黑体" w:hAnsi="黑体" w:eastAsia="黑体"/>
          <w:b/>
          <w:bCs/>
          <w:sz w:val="24"/>
          <w:szCs w:val="24"/>
        </w:rPr>
      </w:pPr>
    </w:p>
    <w:p w14:paraId="2B7ACDDA">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2"/>
        <w:shd w:val="clear" w:color="auto" w:fill="auto"/>
        <w:spacing w:line="400" w:lineRule="exact"/>
        <w:rPr>
          <w:rFonts w:hint="eastAsia" w:ascii="黑体" w:hAnsi="黑体" w:eastAsia="黑体"/>
          <w:b/>
          <w:bCs/>
          <w:sz w:val="24"/>
          <w:szCs w:val="24"/>
        </w:rPr>
      </w:pPr>
    </w:p>
    <w:p w14:paraId="2C601B38">
      <w:pPr>
        <w:pStyle w:val="22"/>
        <w:shd w:val="clear" w:color="auto" w:fill="auto"/>
        <w:spacing w:line="400" w:lineRule="exact"/>
        <w:rPr>
          <w:rFonts w:hint="eastAsia" w:ascii="黑体" w:hAnsi="黑体" w:eastAsia="黑体"/>
          <w:b/>
          <w:bCs/>
          <w:sz w:val="24"/>
          <w:szCs w:val="24"/>
        </w:rPr>
      </w:pPr>
    </w:p>
    <w:p w14:paraId="684F6161">
      <w:pPr>
        <w:pStyle w:val="22"/>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2"/>
        <w:shd w:val="clear" w:color="auto" w:fill="auto"/>
        <w:spacing w:line="400" w:lineRule="exact"/>
        <w:rPr>
          <w:rFonts w:hint="eastAsia" w:ascii="黑体" w:hAnsi="黑体" w:eastAsia="黑体"/>
          <w:b/>
          <w:bCs/>
          <w:sz w:val="24"/>
          <w:szCs w:val="24"/>
        </w:rPr>
      </w:pPr>
    </w:p>
    <w:p w14:paraId="78687EFD">
      <w:pPr>
        <w:pStyle w:val="22"/>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34732A29">
      <w:pPr>
        <w:pStyle w:val="22"/>
        <w:numPr>
          <w:ilvl w:val="0"/>
          <w:numId w:val="0"/>
        </w:numPr>
        <w:shd w:val="clear" w:color="auto" w:fill="auto"/>
        <w:spacing w:line="400" w:lineRule="exact"/>
        <w:rPr>
          <w:rFonts w:hint="eastAsia" w:ascii="黑体" w:hAnsi="黑体" w:eastAsia="黑体"/>
          <w:b/>
          <w:bCs/>
          <w:sz w:val="24"/>
          <w:szCs w:val="24"/>
        </w:rPr>
      </w:pPr>
    </w:p>
    <w:p w14:paraId="4CE998C9">
      <w:pPr>
        <w:numPr>
          <w:numId w:val="0"/>
        </w:numPr>
        <w:spacing w:line="400" w:lineRule="exact"/>
        <w:rPr>
          <w:rFonts w:hint="eastAsia" w:ascii="黑体" w:hAnsi="黑体" w:eastAsia="黑体"/>
          <w:b/>
          <w:bCs/>
          <w:sz w:val="24"/>
          <w:szCs w:val="24"/>
        </w:rPr>
      </w:pPr>
      <w:r>
        <w:rPr>
          <w:rFonts w:hint="eastAsia" w:ascii="黑体" w:hAnsi="黑体" w:eastAsia="黑体"/>
          <w:b/>
          <w:bCs/>
          <w:sz w:val="24"/>
          <w:szCs w:val="24"/>
          <w:lang w:val="en-US" w:eastAsia="zh-CN"/>
        </w:rPr>
        <w:t>八、详细分项报价表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641"/>
        <w:gridCol w:w="513"/>
        <w:gridCol w:w="601"/>
        <w:gridCol w:w="2598"/>
        <w:gridCol w:w="2597"/>
      </w:tblGrid>
      <w:tr w14:paraId="40B4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3" w:type="pct"/>
            <w:noWrap w:val="0"/>
            <w:vAlign w:val="center"/>
          </w:tcPr>
          <w:p w14:paraId="106391D2">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963" w:type="pct"/>
            <w:noWrap w:val="0"/>
            <w:vAlign w:val="center"/>
          </w:tcPr>
          <w:p w14:paraId="3AF32C49">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产品名称</w:t>
            </w:r>
          </w:p>
        </w:tc>
        <w:tc>
          <w:tcPr>
            <w:tcW w:w="301" w:type="pct"/>
            <w:noWrap w:val="0"/>
            <w:vAlign w:val="center"/>
          </w:tcPr>
          <w:p w14:paraId="423E3F38">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353" w:type="pct"/>
            <w:noWrap w:val="0"/>
            <w:vAlign w:val="center"/>
          </w:tcPr>
          <w:p w14:paraId="57850894">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单位</w:t>
            </w:r>
          </w:p>
        </w:tc>
        <w:tc>
          <w:tcPr>
            <w:tcW w:w="1524" w:type="pct"/>
            <w:noWrap w:val="0"/>
            <w:vAlign w:val="center"/>
          </w:tcPr>
          <w:p w14:paraId="77093719">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说明</w:t>
            </w:r>
          </w:p>
        </w:tc>
        <w:tc>
          <w:tcPr>
            <w:tcW w:w="1524" w:type="pct"/>
            <w:noWrap w:val="0"/>
            <w:vAlign w:val="center"/>
          </w:tcPr>
          <w:p w14:paraId="5FDB5B21">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报价（万元）</w:t>
            </w:r>
          </w:p>
        </w:tc>
      </w:tr>
      <w:tr w14:paraId="1EE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3" w:type="pct"/>
            <w:shd w:val="clear" w:color="auto" w:fill="auto"/>
            <w:noWrap w:val="0"/>
            <w:vAlign w:val="center"/>
          </w:tcPr>
          <w:p w14:paraId="0D67DFB5">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bookmarkStart w:id="1" w:name="OLE_LINK1"/>
            <w:r>
              <w:rPr>
                <w:rFonts w:hint="eastAsia" w:ascii="宋体" w:hAnsi="宋体" w:eastAsia="宋体" w:cs="宋体"/>
                <w:color w:val="auto"/>
                <w:sz w:val="21"/>
                <w:szCs w:val="21"/>
                <w:highlight w:val="none"/>
                <w:vertAlign w:val="baseline"/>
                <w:lang w:val="en-US" w:eastAsia="zh-CN"/>
              </w:rPr>
              <w:t>1</w:t>
            </w:r>
          </w:p>
        </w:tc>
        <w:tc>
          <w:tcPr>
            <w:tcW w:w="963" w:type="pct"/>
            <w:shd w:val="clear" w:color="auto" w:fill="auto"/>
            <w:noWrap w:val="0"/>
            <w:vAlign w:val="center"/>
          </w:tcPr>
          <w:p w14:paraId="2A99088A">
            <w:pPr>
              <w:keepNext w:val="0"/>
              <w:keepLines w:val="0"/>
              <w:pageBreakBefore w:val="0"/>
              <w:spacing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医疗车</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核心产品</w:t>
            </w:r>
            <w:r>
              <w:rPr>
                <w:rFonts w:hint="eastAsia" w:ascii="宋体" w:hAnsi="宋体" w:cs="宋体"/>
                <w:bCs/>
                <w:color w:val="auto"/>
                <w:sz w:val="21"/>
                <w:szCs w:val="21"/>
                <w:highlight w:val="none"/>
                <w:lang w:eastAsia="zh-CN"/>
              </w:rPr>
              <w:t>）</w:t>
            </w:r>
          </w:p>
        </w:tc>
        <w:tc>
          <w:tcPr>
            <w:tcW w:w="301" w:type="pct"/>
            <w:shd w:val="clear" w:color="auto" w:fill="auto"/>
            <w:noWrap w:val="0"/>
            <w:vAlign w:val="center"/>
          </w:tcPr>
          <w:p w14:paraId="3073E536">
            <w:pPr>
              <w:spacing w:line="360" w:lineRule="auto"/>
              <w:ind w:firstLine="14"/>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1</w:t>
            </w:r>
          </w:p>
        </w:tc>
        <w:tc>
          <w:tcPr>
            <w:tcW w:w="353" w:type="pct"/>
            <w:shd w:val="clear" w:color="auto" w:fill="auto"/>
            <w:noWrap w:val="0"/>
            <w:vAlign w:val="center"/>
          </w:tcPr>
          <w:p w14:paraId="4D5B83AD">
            <w:pPr>
              <w:spacing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辆</w:t>
            </w:r>
          </w:p>
        </w:tc>
        <w:tc>
          <w:tcPr>
            <w:tcW w:w="1524" w:type="pct"/>
            <w:shd w:val="clear" w:color="auto" w:fill="auto"/>
            <w:noWrap w:val="0"/>
            <w:vAlign w:val="center"/>
          </w:tcPr>
          <w:p w14:paraId="027F059F">
            <w:pPr>
              <w:spacing w:line="360" w:lineRule="auto"/>
              <w:jc w:val="center"/>
              <w:rPr>
                <w:rFonts w:hint="default" w:ascii="宋体" w:hAnsi="宋体" w:eastAsia="宋体" w:cs="宋体"/>
                <w:bCs/>
                <w:color w:val="auto"/>
                <w:sz w:val="21"/>
                <w:szCs w:val="21"/>
                <w:highlight w:val="none"/>
                <w:lang w:val="en-US" w:eastAsia="zh-CN" w:bidi="ar-SA"/>
              </w:rPr>
            </w:pPr>
            <w:r>
              <w:rPr>
                <w:rFonts w:hint="eastAsia" w:ascii="宋体" w:hAnsi="宋体" w:cs="宋体"/>
                <w:bCs/>
                <w:i/>
                <w:iCs/>
                <w:color w:val="auto"/>
                <w:sz w:val="21"/>
                <w:szCs w:val="21"/>
                <w:highlight w:val="none"/>
                <w:u w:val="single"/>
                <w:lang w:val="en-US" w:eastAsia="zh-CN" w:bidi="ar-SA"/>
              </w:rPr>
              <w:t>裸车最高限价为45万元</w:t>
            </w:r>
          </w:p>
        </w:tc>
        <w:tc>
          <w:tcPr>
            <w:tcW w:w="1524" w:type="pct"/>
            <w:shd w:val="clear" w:color="auto" w:fill="auto"/>
            <w:noWrap w:val="0"/>
            <w:vAlign w:val="center"/>
          </w:tcPr>
          <w:p w14:paraId="017084E5">
            <w:pPr>
              <w:spacing w:line="360" w:lineRule="auto"/>
              <w:jc w:val="center"/>
              <w:rPr>
                <w:rFonts w:hint="eastAsia" w:ascii="宋体" w:hAnsi="宋体" w:cs="宋体"/>
                <w:bCs/>
                <w:i/>
                <w:iCs/>
                <w:color w:val="auto"/>
                <w:sz w:val="21"/>
                <w:szCs w:val="21"/>
                <w:highlight w:val="none"/>
                <w:u w:val="single"/>
                <w:lang w:val="en-US" w:eastAsia="zh-CN" w:bidi="ar-SA"/>
              </w:rPr>
            </w:pPr>
          </w:p>
        </w:tc>
      </w:tr>
      <w:tr w14:paraId="630A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3" w:type="pct"/>
            <w:noWrap w:val="0"/>
            <w:vAlign w:val="center"/>
          </w:tcPr>
          <w:p w14:paraId="4887DE5C">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63" w:type="pct"/>
            <w:shd w:val="clear" w:color="auto" w:fill="auto"/>
            <w:noWrap w:val="0"/>
            <w:vAlign w:val="center"/>
          </w:tcPr>
          <w:p w14:paraId="67B3C0AE">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r>
              <w:rPr>
                <w:rFonts w:hint="eastAsia" w:ascii="宋体" w:hAnsi="宋体" w:eastAsia="宋体" w:cs="宋体"/>
                <w:bCs/>
                <w:color w:val="auto"/>
                <w:sz w:val="21"/>
                <w:szCs w:val="21"/>
                <w:highlight w:val="none"/>
              </w:rPr>
              <w:t>医疗车</w:t>
            </w:r>
            <w:r>
              <w:rPr>
                <w:rFonts w:hint="eastAsia" w:ascii="宋体" w:hAnsi="宋体" w:cs="宋体"/>
                <w:bCs/>
                <w:color w:val="auto"/>
                <w:sz w:val="21"/>
                <w:szCs w:val="21"/>
                <w:highlight w:val="none"/>
                <w:lang w:val="en-US" w:eastAsia="zh-CN"/>
              </w:rPr>
              <w:t>改装</w:t>
            </w:r>
          </w:p>
        </w:tc>
        <w:tc>
          <w:tcPr>
            <w:tcW w:w="301" w:type="pct"/>
            <w:shd w:val="clear" w:color="auto" w:fill="auto"/>
            <w:noWrap w:val="0"/>
            <w:vAlign w:val="center"/>
          </w:tcPr>
          <w:p w14:paraId="630F0AD1">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w:t>
            </w:r>
          </w:p>
        </w:tc>
        <w:tc>
          <w:tcPr>
            <w:tcW w:w="353" w:type="pct"/>
            <w:shd w:val="clear" w:color="auto" w:fill="auto"/>
            <w:noWrap w:val="0"/>
            <w:vAlign w:val="center"/>
          </w:tcPr>
          <w:p w14:paraId="191CF5F0">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项</w:t>
            </w:r>
          </w:p>
        </w:tc>
        <w:tc>
          <w:tcPr>
            <w:tcW w:w="1524" w:type="pct"/>
            <w:shd w:val="clear" w:color="auto" w:fill="auto"/>
            <w:noWrap w:val="0"/>
            <w:vAlign w:val="center"/>
          </w:tcPr>
          <w:p w14:paraId="453E3902">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p>
        </w:tc>
        <w:tc>
          <w:tcPr>
            <w:tcW w:w="1524" w:type="pct"/>
            <w:shd w:val="clear" w:color="auto" w:fill="auto"/>
            <w:noWrap w:val="0"/>
            <w:vAlign w:val="center"/>
          </w:tcPr>
          <w:p w14:paraId="1754C91B">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p>
        </w:tc>
      </w:tr>
      <w:tr w14:paraId="4414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3" w:type="pct"/>
            <w:noWrap w:val="0"/>
            <w:vAlign w:val="center"/>
          </w:tcPr>
          <w:p w14:paraId="32B51192">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63" w:type="pct"/>
            <w:shd w:val="clear" w:color="auto" w:fill="auto"/>
            <w:noWrap w:val="0"/>
            <w:vAlign w:val="center"/>
          </w:tcPr>
          <w:p w14:paraId="492856FE">
            <w:pPr>
              <w:keepNext w:val="0"/>
              <w:keepLines w:val="0"/>
              <w:pageBreakBefore w:val="0"/>
              <w:widowControl/>
              <w:spacing w:after="0"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X射线骨密度仪防护配套设施</w:t>
            </w:r>
          </w:p>
        </w:tc>
        <w:tc>
          <w:tcPr>
            <w:tcW w:w="301" w:type="pct"/>
            <w:shd w:val="clear" w:color="auto" w:fill="auto"/>
            <w:noWrap w:val="0"/>
            <w:vAlign w:val="center"/>
          </w:tcPr>
          <w:p w14:paraId="04005419">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353" w:type="pct"/>
            <w:shd w:val="clear" w:color="auto" w:fill="auto"/>
            <w:noWrap w:val="0"/>
            <w:vAlign w:val="center"/>
          </w:tcPr>
          <w:p w14:paraId="504DA594">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套</w:t>
            </w:r>
          </w:p>
        </w:tc>
        <w:tc>
          <w:tcPr>
            <w:tcW w:w="1524" w:type="pct"/>
            <w:shd w:val="clear" w:color="auto" w:fill="auto"/>
            <w:noWrap w:val="0"/>
            <w:vAlign w:val="center"/>
          </w:tcPr>
          <w:p w14:paraId="5395E9F3">
            <w:pPr>
              <w:keepNext w:val="0"/>
              <w:keepLines w:val="0"/>
              <w:pageBreakBefore w:val="0"/>
              <w:widowControl/>
              <w:spacing w:after="0" w:line="360" w:lineRule="auto"/>
              <w:jc w:val="center"/>
              <w:rPr>
                <w:rFonts w:hint="eastAsia" w:ascii="宋体" w:hAnsi="宋体" w:cs="宋体"/>
                <w:b w:val="0"/>
                <w:bCs/>
                <w:color w:val="auto"/>
                <w:sz w:val="21"/>
                <w:szCs w:val="21"/>
                <w:highlight w:val="none"/>
                <w:lang w:val="en-US" w:eastAsia="zh-CN"/>
              </w:rPr>
            </w:pPr>
          </w:p>
        </w:tc>
        <w:tc>
          <w:tcPr>
            <w:tcW w:w="1524" w:type="pct"/>
            <w:shd w:val="clear" w:color="auto" w:fill="auto"/>
            <w:noWrap w:val="0"/>
            <w:vAlign w:val="center"/>
          </w:tcPr>
          <w:p w14:paraId="07C5820A">
            <w:pPr>
              <w:keepNext w:val="0"/>
              <w:keepLines w:val="0"/>
              <w:pageBreakBefore w:val="0"/>
              <w:widowControl/>
              <w:spacing w:after="0" w:line="360" w:lineRule="auto"/>
              <w:jc w:val="center"/>
              <w:rPr>
                <w:rFonts w:hint="eastAsia" w:ascii="宋体" w:hAnsi="宋体" w:cs="宋体"/>
                <w:b w:val="0"/>
                <w:bCs/>
                <w:color w:val="auto"/>
                <w:sz w:val="21"/>
                <w:szCs w:val="21"/>
                <w:highlight w:val="none"/>
                <w:lang w:val="en-US" w:eastAsia="zh-CN"/>
              </w:rPr>
            </w:pPr>
          </w:p>
        </w:tc>
      </w:tr>
      <w:tr w14:paraId="4327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33" w:type="pct"/>
            <w:noWrap w:val="0"/>
            <w:vAlign w:val="center"/>
          </w:tcPr>
          <w:p w14:paraId="1CC75FD9">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63" w:type="pct"/>
            <w:shd w:val="clear" w:color="auto" w:fill="auto"/>
            <w:noWrap w:val="0"/>
            <w:vAlign w:val="center"/>
          </w:tcPr>
          <w:p w14:paraId="53E9094F">
            <w:pPr>
              <w:keepNext w:val="0"/>
              <w:keepLines w:val="0"/>
              <w:pageBreakBefore w:val="0"/>
              <w:widowControl/>
              <w:spacing w:after="0"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医用血液冷藏冰箱</w:t>
            </w:r>
          </w:p>
        </w:tc>
        <w:tc>
          <w:tcPr>
            <w:tcW w:w="301" w:type="pct"/>
            <w:shd w:val="clear" w:color="auto" w:fill="auto"/>
            <w:noWrap w:val="0"/>
            <w:vAlign w:val="center"/>
          </w:tcPr>
          <w:p w14:paraId="01AA07A4">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1</w:t>
            </w:r>
          </w:p>
        </w:tc>
        <w:tc>
          <w:tcPr>
            <w:tcW w:w="353" w:type="pct"/>
            <w:shd w:val="clear" w:color="auto" w:fill="auto"/>
            <w:noWrap w:val="0"/>
            <w:vAlign w:val="center"/>
          </w:tcPr>
          <w:p w14:paraId="3EAEA5F7">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台</w:t>
            </w:r>
          </w:p>
        </w:tc>
        <w:tc>
          <w:tcPr>
            <w:tcW w:w="1524" w:type="pct"/>
            <w:shd w:val="clear" w:color="auto" w:fill="auto"/>
            <w:noWrap w:val="0"/>
            <w:vAlign w:val="center"/>
          </w:tcPr>
          <w:p w14:paraId="0B15066B">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i/>
                <w:iCs/>
                <w:color w:val="auto"/>
                <w:sz w:val="21"/>
                <w:szCs w:val="21"/>
                <w:highlight w:val="none"/>
                <w:u w:val="single"/>
                <w:vertAlign w:val="baseline"/>
                <w:lang w:val="en-US" w:eastAsia="zh-CN"/>
              </w:rPr>
              <w:t>质保期不少于3年</w:t>
            </w:r>
          </w:p>
        </w:tc>
        <w:tc>
          <w:tcPr>
            <w:tcW w:w="1524" w:type="pct"/>
            <w:shd w:val="clear" w:color="auto" w:fill="auto"/>
            <w:noWrap w:val="0"/>
            <w:vAlign w:val="center"/>
          </w:tcPr>
          <w:p w14:paraId="47D22B6B">
            <w:pPr>
              <w:keepNext w:val="0"/>
              <w:keepLines w:val="0"/>
              <w:pageBreakBefore w:val="0"/>
              <w:widowControl/>
              <w:spacing w:after="0" w:line="360" w:lineRule="auto"/>
              <w:jc w:val="center"/>
              <w:rPr>
                <w:rFonts w:hint="eastAsia" w:ascii="宋体" w:hAnsi="宋体" w:cs="宋体"/>
                <w:i/>
                <w:iCs/>
                <w:color w:val="auto"/>
                <w:sz w:val="21"/>
                <w:szCs w:val="21"/>
                <w:highlight w:val="none"/>
                <w:u w:val="single"/>
                <w:vertAlign w:val="baseline"/>
                <w:lang w:val="en-US" w:eastAsia="zh-CN"/>
              </w:rPr>
            </w:pPr>
          </w:p>
        </w:tc>
      </w:tr>
      <w:tr w14:paraId="5A80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33" w:type="pct"/>
            <w:noWrap w:val="0"/>
            <w:vAlign w:val="center"/>
          </w:tcPr>
          <w:p w14:paraId="248BB1D0">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63" w:type="pct"/>
            <w:shd w:val="clear" w:color="auto" w:fill="auto"/>
            <w:noWrap w:val="0"/>
            <w:vAlign w:val="center"/>
          </w:tcPr>
          <w:p w14:paraId="67C5CD68">
            <w:pPr>
              <w:keepNext w:val="0"/>
              <w:keepLines w:val="0"/>
              <w:pageBreakBefore w:val="0"/>
              <w:widowControl/>
              <w:spacing w:after="0" w:line="360" w:lineRule="auto"/>
              <w:jc w:val="center"/>
              <w:rPr>
                <w:rFonts w:hint="default"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除颤仪</w:t>
            </w:r>
          </w:p>
        </w:tc>
        <w:tc>
          <w:tcPr>
            <w:tcW w:w="301" w:type="pct"/>
            <w:shd w:val="clear" w:color="auto" w:fill="auto"/>
            <w:noWrap w:val="0"/>
            <w:vAlign w:val="center"/>
          </w:tcPr>
          <w:p w14:paraId="4A5EEFB7">
            <w:pPr>
              <w:keepNext w:val="0"/>
              <w:keepLines w:val="0"/>
              <w:pageBreakBefore w:val="0"/>
              <w:widowControl/>
              <w:spacing w:after="0" w:line="360" w:lineRule="auto"/>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353" w:type="pct"/>
            <w:shd w:val="clear" w:color="auto" w:fill="auto"/>
            <w:noWrap w:val="0"/>
            <w:vAlign w:val="center"/>
          </w:tcPr>
          <w:p w14:paraId="6155CFA6">
            <w:pPr>
              <w:keepNext w:val="0"/>
              <w:keepLines w:val="0"/>
              <w:pageBreakBefore w:val="0"/>
              <w:widowControl/>
              <w:spacing w:after="0" w:line="360" w:lineRule="auto"/>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台</w:t>
            </w:r>
          </w:p>
        </w:tc>
        <w:tc>
          <w:tcPr>
            <w:tcW w:w="1524" w:type="pct"/>
            <w:shd w:val="clear" w:color="auto" w:fill="auto"/>
            <w:noWrap w:val="0"/>
            <w:vAlign w:val="center"/>
          </w:tcPr>
          <w:p w14:paraId="68014A0D">
            <w:pPr>
              <w:keepNext w:val="0"/>
              <w:keepLines w:val="0"/>
              <w:pageBreakBefore w:val="0"/>
              <w:widowControl/>
              <w:spacing w:after="0" w:line="360" w:lineRule="auto"/>
              <w:jc w:val="center"/>
              <w:rPr>
                <w:rFonts w:hint="eastAsia" w:ascii="宋体" w:hAnsi="宋体" w:cs="宋体"/>
                <w:i/>
                <w:iCs/>
                <w:color w:val="auto"/>
                <w:sz w:val="21"/>
                <w:szCs w:val="21"/>
                <w:highlight w:val="none"/>
                <w:u w:val="single"/>
                <w:vertAlign w:val="baseline"/>
                <w:lang w:val="en-US" w:eastAsia="zh-CN"/>
              </w:rPr>
            </w:pPr>
            <w:r>
              <w:rPr>
                <w:rFonts w:hint="eastAsia" w:ascii="宋体" w:hAnsi="宋体" w:cs="宋体"/>
                <w:i/>
                <w:iCs/>
                <w:color w:val="auto"/>
                <w:sz w:val="21"/>
                <w:szCs w:val="21"/>
                <w:highlight w:val="none"/>
                <w:u w:val="single"/>
                <w:vertAlign w:val="baseline"/>
                <w:lang w:val="en-US" w:eastAsia="zh-CN"/>
              </w:rPr>
              <w:t>质保期不少于3年</w:t>
            </w:r>
            <w:bookmarkEnd w:id="1"/>
          </w:p>
        </w:tc>
        <w:tc>
          <w:tcPr>
            <w:tcW w:w="1524" w:type="pct"/>
            <w:shd w:val="clear" w:color="auto" w:fill="auto"/>
            <w:noWrap w:val="0"/>
            <w:vAlign w:val="center"/>
          </w:tcPr>
          <w:p w14:paraId="18A06527">
            <w:pPr>
              <w:keepNext w:val="0"/>
              <w:keepLines w:val="0"/>
              <w:pageBreakBefore w:val="0"/>
              <w:widowControl/>
              <w:spacing w:after="0" w:line="360" w:lineRule="auto"/>
              <w:jc w:val="center"/>
              <w:rPr>
                <w:rFonts w:hint="eastAsia" w:ascii="宋体" w:hAnsi="宋体" w:cs="宋体"/>
                <w:i/>
                <w:iCs/>
                <w:color w:val="auto"/>
                <w:sz w:val="21"/>
                <w:szCs w:val="21"/>
                <w:highlight w:val="none"/>
                <w:u w:val="single"/>
                <w:vertAlign w:val="baseline"/>
                <w:lang w:val="en-US" w:eastAsia="zh-CN"/>
              </w:rPr>
            </w:pPr>
          </w:p>
        </w:tc>
      </w:tr>
      <w:tr w14:paraId="4D0B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475" w:type="pct"/>
            <w:gridSpan w:val="5"/>
            <w:noWrap w:val="0"/>
            <w:vAlign w:val="center"/>
          </w:tcPr>
          <w:p w14:paraId="55F884C9">
            <w:pPr>
              <w:keepNext w:val="0"/>
              <w:keepLines w:val="0"/>
              <w:pageBreakBefore w:val="0"/>
              <w:widowControl/>
              <w:spacing w:after="0" w:line="360" w:lineRule="auto"/>
              <w:jc w:val="center"/>
              <w:rPr>
                <w:rFonts w:hint="default" w:ascii="宋体" w:hAnsi="宋体" w:cs="宋体"/>
                <w:i/>
                <w:iCs/>
                <w:color w:val="auto"/>
                <w:sz w:val="21"/>
                <w:szCs w:val="21"/>
                <w:highlight w:val="none"/>
                <w:u w:val="single"/>
                <w:vertAlign w:val="baseline"/>
                <w:lang w:val="en-US" w:eastAsia="zh-CN"/>
              </w:rPr>
            </w:pPr>
            <w:r>
              <w:rPr>
                <w:rFonts w:hint="eastAsia" w:ascii="宋体" w:hAnsi="宋体" w:cs="宋体"/>
                <w:i w:val="0"/>
                <w:iCs w:val="0"/>
                <w:color w:val="auto"/>
                <w:sz w:val="21"/>
                <w:szCs w:val="21"/>
                <w:highlight w:val="none"/>
                <w:u w:val="none"/>
                <w:vertAlign w:val="baseline"/>
                <w:lang w:val="en-US" w:eastAsia="zh-CN"/>
              </w:rPr>
              <w:t>合计</w:t>
            </w:r>
          </w:p>
        </w:tc>
        <w:tc>
          <w:tcPr>
            <w:tcW w:w="1524" w:type="pct"/>
            <w:shd w:val="clear" w:color="auto" w:fill="auto"/>
            <w:noWrap w:val="0"/>
            <w:vAlign w:val="center"/>
          </w:tcPr>
          <w:p w14:paraId="38E84492">
            <w:pPr>
              <w:keepNext w:val="0"/>
              <w:keepLines w:val="0"/>
              <w:pageBreakBefore w:val="0"/>
              <w:widowControl/>
              <w:spacing w:after="0" w:line="360" w:lineRule="auto"/>
              <w:jc w:val="center"/>
              <w:rPr>
                <w:rFonts w:hint="eastAsia" w:ascii="宋体" w:hAnsi="宋体" w:cs="宋体"/>
                <w:i/>
                <w:iCs/>
                <w:color w:val="auto"/>
                <w:sz w:val="21"/>
                <w:szCs w:val="21"/>
                <w:highlight w:val="none"/>
                <w:u w:val="single"/>
                <w:vertAlign w:val="baseline"/>
                <w:lang w:val="en-US" w:eastAsia="zh-CN"/>
              </w:rPr>
            </w:pPr>
          </w:p>
        </w:tc>
      </w:tr>
    </w:tbl>
    <w:p w14:paraId="66112ED2">
      <w:pPr>
        <w:numPr>
          <w:ilvl w:val="0"/>
          <w:numId w:val="0"/>
        </w:numPr>
        <w:spacing w:line="400" w:lineRule="exact"/>
        <w:rPr>
          <w:rFonts w:hint="eastAsia" w:ascii="黑体" w:hAnsi="黑体" w:eastAsia="黑体"/>
          <w:b/>
          <w:bCs/>
          <w:sz w:val="24"/>
          <w:szCs w:val="24"/>
        </w:rPr>
      </w:pPr>
      <w:r>
        <w:rPr>
          <w:rFonts w:hint="eastAsia" w:ascii="黑体" w:hAnsi="黑体" w:eastAsia="黑体" w:cstheme="minorBidi"/>
          <w:b/>
          <w:bCs/>
          <w:kern w:val="2"/>
          <w:sz w:val="24"/>
          <w:szCs w:val="24"/>
          <w:lang w:val="en-US" w:eastAsia="zh-CN" w:bidi="ar-SA"/>
        </w:rPr>
        <w:t>九、</w:t>
      </w: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r>
        <w:rPr>
          <w:rFonts w:hint="eastAsia" w:ascii="黑体" w:hAnsi="黑体" w:eastAsia="黑体"/>
          <w:b/>
          <w:bCs/>
          <w:sz w:val="24"/>
          <w:szCs w:val="24"/>
          <w:lang w:eastAsia="zh-CN"/>
        </w:rPr>
        <w:t>（</w:t>
      </w:r>
      <w:r>
        <w:rPr>
          <w:rFonts w:hint="eastAsia" w:ascii="黑体" w:hAnsi="黑体" w:eastAsia="黑体"/>
          <w:b/>
          <w:bCs/>
          <w:sz w:val="24"/>
          <w:szCs w:val="24"/>
          <w:lang w:val="en-US" w:eastAsia="zh-CN"/>
        </w:rPr>
        <w:t>格式自拟</w:t>
      </w:r>
      <w:r>
        <w:rPr>
          <w:rFonts w:hint="eastAsia" w:ascii="黑体" w:hAnsi="黑体" w:eastAsia="黑体"/>
          <w:b/>
          <w:bCs/>
          <w:sz w:val="24"/>
          <w:szCs w:val="24"/>
          <w:lang w:eastAsia="zh-CN"/>
        </w:rPr>
        <w:t>）</w:t>
      </w:r>
    </w:p>
    <w:p w14:paraId="547660DB">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A9742"/>
    <w:multiLevelType w:val="singleLevel"/>
    <w:tmpl w:val="D12A974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9F32C6F"/>
    <w:rsid w:val="60117469"/>
    <w:rsid w:val="629971EF"/>
    <w:rsid w:val="6AEF20FE"/>
    <w:rsid w:val="71770D46"/>
    <w:rsid w:val="7A112BC4"/>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3"/>
    <w:qFormat/>
    <w:uiPriority w:val="0"/>
    <w:rPr>
      <w:rFonts w:ascii="宋体" w:hAnsi="Courier New"/>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HTML Typewriter"/>
    <w:qFormat/>
    <w:uiPriority w:val="0"/>
    <w:rPr>
      <w:rFonts w:ascii="宋体" w:hAnsi="宋体" w:eastAsia="宋体" w:cs="宋体"/>
      <w:sz w:val="24"/>
      <w:szCs w:val="24"/>
    </w:rPr>
  </w:style>
  <w:style w:type="paragraph" w:customStyle="1" w:styleId="12">
    <w:name w:val="正文（缩进）"/>
    <w:basedOn w:val="1"/>
    <w:next w:val="13"/>
    <w:qFormat/>
    <w:uiPriority w:val="0"/>
    <w:pPr>
      <w:spacing w:line="360" w:lineRule="auto"/>
      <w:ind w:firstLine="200" w:firstLineChars="200"/>
    </w:pPr>
    <w:rPr>
      <w:rFonts w:ascii="宋体" w:hAnsi="宋体"/>
    </w:rPr>
  </w:style>
  <w:style w:type="paragraph" w:customStyle="1" w:styleId="13">
    <w:name w:val="Char Char Char Char Char Char Char Char Char"/>
    <w:basedOn w:val="1"/>
    <w:next w:val="14"/>
    <w:qFormat/>
    <w:uiPriority w:val="0"/>
    <w:pPr>
      <w:ind w:left="360" w:firstLine="5784"/>
    </w:pPr>
  </w:style>
  <w:style w:type="paragraph" w:customStyle="1" w:styleId="14">
    <w:name w:val="正文文本 21"/>
    <w:basedOn w:val="1"/>
    <w:next w:val="15"/>
    <w:qFormat/>
    <w:uiPriority w:val="0"/>
    <w:pPr>
      <w:widowControl/>
      <w:autoSpaceDE w:val="0"/>
      <w:autoSpaceDN w:val="0"/>
      <w:ind w:left="720" w:firstLine="5680"/>
    </w:pPr>
  </w:style>
  <w:style w:type="paragraph" w:customStyle="1" w:styleId="15">
    <w:name w:val="默认段落字体 Para Char Char Char Char Char Char Char"/>
    <w:basedOn w:val="1"/>
    <w:next w:val="16"/>
    <w:qFormat/>
    <w:uiPriority w:val="0"/>
    <w:pPr>
      <w:ind w:firstLine="5632"/>
    </w:pPr>
  </w:style>
  <w:style w:type="paragraph" w:customStyle="1" w:styleId="16">
    <w:name w:val="样式 首行缩进:  2 字符"/>
    <w:basedOn w:val="1"/>
    <w:next w:val="17"/>
    <w:qFormat/>
    <w:uiPriority w:val="0"/>
    <w:pPr>
      <w:spacing w:line="360" w:lineRule="auto"/>
      <w:ind w:left="480" w:firstLine="5856"/>
    </w:pPr>
  </w:style>
  <w:style w:type="paragraph" w:customStyle="1" w:styleId="17">
    <w:name w:val="样式 段后: 0.25 行"/>
    <w:basedOn w:val="1"/>
    <w:next w:val="18"/>
    <w:qFormat/>
    <w:uiPriority w:val="0"/>
    <w:pPr>
      <w:widowControl/>
      <w:spacing w:line="300" w:lineRule="auto"/>
      <w:ind w:left="420" w:firstLine="5796"/>
    </w:pPr>
  </w:style>
  <w:style w:type="paragraph" w:customStyle="1" w:styleId="18">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9">
    <w:name w:val="页眉 字符"/>
    <w:basedOn w:val="9"/>
    <w:link w:val="5"/>
    <w:qFormat/>
    <w:uiPriority w:val="99"/>
    <w:rPr>
      <w:sz w:val="18"/>
      <w:szCs w:val="18"/>
    </w:rPr>
  </w:style>
  <w:style w:type="character" w:customStyle="1" w:styleId="20">
    <w:name w:val="页脚 字符"/>
    <w:basedOn w:val="9"/>
    <w:link w:val="4"/>
    <w:qFormat/>
    <w:uiPriority w:val="99"/>
    <w:rPr>
      <w:sz w:val="18"/>
      <w:szCs w:val="18"/>
    </w:rPr>
  </w:style>
  <w:style w:type="character" w:customStyle="1" w:styleId="21">
    <w:name w:val="MSG_EN_FONT_STYLE_NAME_TEMPLATE_ROLE_NUMBER MSG_EN_FONT_STYLE_NAME_BY_ROLE_TEXT 2 Exact"/>
    <w:basedOn w:val="9"/>
    <w:link w:val="22"/>
    <w:qFormat/>
    <w:locked/>
    <w:uiPriority w:val="99"/>
    <w:rPr>
      <w:rFonts w:ascii="PMingLiUfalt" w:hAnsi="PMingLiUfalt" w:eastAsia="PMingLiUfalt" w:cs="PMingLiUfalt"/>
      <w:sz w:val="30"/>
      <w:szCs w:val="30"/>
      <w:shd w:val="clear" w:color="auto" w:fill="FFFFFF"/>
    </w:rPr>
  </w:style>
  <w:style w:type="paragraph" w:customStyle="1" w:styleId="22">
    <w:name w:val="MSG_EN_FONT_STYLE_NAME_TEMPLATE_ROLE_NUMBER MSG_EN_FONT_STYLE_NAME_BY_ROLE_TEXT 2"/>
    <w:basedOn w:val="1"/>
    <w:link w:val="21"/>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3">
    <w:name w:val="纯文本 字符"/>
    <w:link w:val="3"/>
    <w:qFormat/>
    <w:uiPriority w:val="0"/>
    <w:rPr>
      <w:rFonts w:ascii="宋体" w:hAnsi="Courier New"/>
    </w:rPr>
  </w:style>
  <w:style w:type="character" w:customStyle="1" w:styleId="24">
    <w:name w:val="纯文本 Char1"/>
    <w:basedOn w:val="9"/>
    <w:semiHidden/>
    <w:qFormat/>
    <w:uiPriority w:val="99"/>
    <w:rPr>
      <w:rFonts w:ascii="宋体" w:hAnsi="Courier New" w:eastAsia="宋体" w:cs="Courier New"/>
      <w:szCs w:val="21"/>
    </w:rPr>
  </w:style>
  <w:style w:type="paragraph" w:customStyle="1" w:styleId="25">
    <w:name w:val="普通文字"/>
    <w:basedOn w:val="1"/>
    <w:next w:val="1"/>
    <w:qFormat/>
    <w:uiPriority w:val="0"/>
    <w:rPr>
      <w:rFonts w:ascii="宋体" w:hAnsi="Calibri" w:eastAsia="宋体" w:cs="Times New Roman"/>
      <w:kern w:val="0"/>
      <w:sz w:val="24"/>
      <w:u w:color="000000"/>
    </w:rPr>
  </w:style>
  <w:style w:type="paragraph" w:customStyle="1" w:styleId="2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742</Words>
  <Characters>824</Characters>
  <Lines>17</Lines>
  <Paragraphs>4</Paragraphs>
  <TotalTime>2</TotalTime>
  <ScaleCrop>false</ScaleCrop>
  <LinksUpToDate>false</LinksUpToDate>
  <CharactersWithSpaces>1442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rr</cp:lastModifiedBy>
  <dcterms:modified xsi:type="dcterms:W3CDTF">2025-12-31T05:02:37Z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ADFD765EB6074030BAB840468B2CBDD6_13</vt:lpwstr>
  </property>
  <property fmtid="{D5CDD505-2E9C-101B-9397-08002B2CF9AE}" pid="4" name="KSOTemplateDocerSaveRecord">
    <vt:lpwstr>eyJoZGlkIjoiMTY0MDU0ZTNhNjIyODJlZjM0NjA3YWYxYTMxMWQ0ZjMiLCJ1c2VySWQiOiIxOTI0NjExMTkifQ==</vt:lpwstr>
  </property>
</Properties>
</file>