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C0374">
      <w:pPr>
        <w:pStyle w:val="14"/>
        <w:rPr>
          <w:sz w:val="32"/>
          <w:szCs w:val="32"/>
        </w:rPr>
      </w:pPr>
      <mc:AlternateContent>
        <mc:Choice Requires="wpsCustomData">
          <wpsCustomData:docfieldStart id="0" docfieldname="标题_1" hidden="0" print="1" readonly="0" index="3"/>
        </mc:Choice>
      </mc:AlternateContent>
      <w:r>
        <w:rPr>
          <w:sz w:val="32"/>
          <w:szCs w:val="32"/>
        </w:rPr>
        <w:t>医院未被污染输液瓶袋及透析桶回收处置项目需求</w:t>
      </w:r>
      <mc:AlternateContent>
        <mc:Choice Requires="wpsCustomData">
          <wpsCustomData:docfieldEnd id="0"/>
        </mc:Choice>
      </mc:AlternateContent>
    </w:p>
    <w:p w14:paraId="2F160A85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0" w:name="heading_1"/>
      <w:r>
        <w:rPr>
          <w:rFonts w:hint="eastAsia" w:ascii="仿宋" w:hAnsi="仿宋" w:eastAsia="仿宋" w:cs="仿宋"/>
          <w:lang w:val="en-US" w:eastAsia="zh-CN"/>
        </w:rPr>
        <w:t>一、</w:t>
      </w:r>
      <w:r>
        <w:rPr>
          <w:rFonts w:hint="eastAsia" w:ascii="仿宋" w:hAnsi="仿宋" w:eastAsia="仿宋" w:cs="仿宋"/>
        </w:rPr>
        <w:t>项目背景</w:t>
      </w:r>
      <w:bookmarkEnd w:id="0"/>
    </w:p>
    <w:p w14:paraId="6F978D61">
      <w:pPr>
        <w:pStyle w:val="11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为严格落实《中华人民共和国固体废物污染环境防治法》《医疗卫生机构医疗废物管理办法》及地方卫健委、生态环境部门关于未被污染医用可回收物管理的相关规定，规范医院未被污染一次性输液瓶（袋）、透析桶（透析AB壶）的分类收集、暂存、清运、处置全流程管理。精准区分医用可回收物与医疗废物、生活垃圾，杜绝混收混运、违规处置等问题，规避院内环境安全、公共卫生及环保合规风险，实现医用废旧物资规范化、资源化、无害化处置，保障医院诊疗工作有序开展，特启动本回收处置项目。</w:t>
      </w:r>
    </w:p>
    <w:p w14:paraId="1FD871D1">
      <w:pPr>
        <w:pStyle w:val="11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本项目</w:t>
      </w:r>
      <w:r>
        <w:rPr>
          <w:rFonts w:hint="eastAsia" w:ascii="仿宋" w:hAnsi="仿宋" w:eastAsia="仿宋" w:cs="仿宋"/>
          <w:sz w:val="32"/>
          <w:lang w:val="en-US" w:eastAsia="zh-CN"/>
        </w:rPr>
        <w:t>为有偿依法回收</w:t>
      </w:r>
      <w:r>
        <w:rPr>
          <w:rFonts w:hint="eastAsia" w:ascii="仿宋" w:hAnsi="仿宋" w:eastAsia="仿宋" w:cs="仿宋"/>
          <w:b/>
          <w:sz w:val="32"/>
        </w:rPr>
        <w:t>未被患者血液、体液、排泄物污染</w:t>
      </w:r>
      <w:r>
        <w:rPr>
          <w:rFonts w:hint="eastAsia" w:ascii="仿宋" w:hAnsi="仿宋" w:eastAsia="仿宋" w:cs="仿宋"/>
          <w:sz w:val="32"/>
        </w:rPr>
        <w:t>的一次性医用耗材包装物及器具，不属于医疗废物，属于可资源化利用的医用可回收物，需单独分类、专项回收、合规处置。</w:t>
      </w:r>
    </w:p>
    <w:p w14:paraId="7EA7EDE4">
      <w:pPr>
        <w:pStyle w:val="3"/>
        <w:numPr>
          <w:ilvl w:val="0"/>
          <w:numId w:val="1"/>
        </w:numPr>
        <w:topLinePunct w:val="0"/>
        <w:ind w:left="0" w:leftChars="0" w:firstLine="640"/>
        <w:rPr>
          <w:rStyle w:val="17"/>
          <w:rFonts w:hint="default" w:ascii="仿宋" w:hAnsi="仿宋" w:cs="仿宋"/>
          <w:lang w:val="en-US" w:eastAsia="zh-CN"/>
        </w:rPr>
      </w:pPr>
      <w:r>
        <w:rPr>
          <w:rFonts w:hint="eastAsia" w:ascii="仿宋" w:hAnsi="仿宋" w:eastAsia="仿宋" w:cs="仿宋"/>
        </w:rPr>
        <w:t>回收</w:t>
      </w:r>
      <w:r>
        <w:rPr>
          <w:rFonts w:hint="eastAsia" w:ascii="仿宋" w:hAnsi="仿宋" w:eastAsia="仿宋" w:cs="仿宋"/>
          <w:lang w:val="en-US" w:eastAsia="zh-CN"/>
        </w:rPr>
        <w:t>区域及</w:t>
      </w:r>
      <w:r>
        <w:rPr>
          <w:rFonts w:hint="eastAsia" w:ascii="仿宋" w:hAnsi="仿宋" w:eastAsia="仿宋" w:cs="仿宋"/>
        </w:rPr>
        <w:t>种类</w:t>
      </w:r>
    </w:p>
    <w:p w14:paraId="36A1AE13">
      <w:pPr>
        <w:pStyle w:val="3"/>
        <w:numPr>
          <w:ilvl w:val="0"/>
          <w:numId w:val="0"/>
        </w:numPr>
        <w:topLinePunct w:val="0"/>
        <w:ind w:leftChars="200"/>
        <w:rPr>
          <w:rStyle w:val="17"/>
          <w:rFonts w:hint="eastAsia" w:ascii="仿宋" w:hAnsi="仿宋" w:cs="仿宋"/>
          <w:lang w:val="en-US" w:eastAsia="zh-CN"/>
        </w:rPr>
      </w:pPr>
      <w:r>
        <w:rPr>
          <w:rStyle w:val="17"/>
          <w:rFonts w:hint="eastAsia" w:ascii="仿宋" w:hAnsi="仿宋" w:cs="仿宋"/>
          <w:lang w:val="en-US" w:eastAsia="zh-CN"/>
        </w:rPr>
        <w:t>（一）回收区域 ；江苏省苏北人民医院总院（南通西路98</w:t>
      </w:r>
    </w:p>
    <w:p w14:paraId="7A2F6B71">
      <w:pPr>
        <w:pStyle w:val="3"/>
        <w:numPr>
          <w:ilvl w:val="0"/>
          <w:numId w:val="0"/>
        </w:numPr>
        <w:topLinePunct w:val="0"/>
        <w:rPr>
          <w:rStyle w:val="17"/>
          <w:rFonts w:hint="default" w:ascii="仿宋" w:hAnsi="仿宋" w:cs="仿宋"/>
          <w:lang w:val="en-US" w:eastAsia="zh-CN"/>
        </w:rPr>
      </w:pPr>
      <w:r>
        <w:rPr>
          <w:rStyle w:val="17"/>
          <w:rFonts w:hint="eastAsia" w:ascii="仿宋" w:hAnsi="仿宋" w:cs="仿宋"/>
          <w:lang w:val="en-US" w:eastAsia="zh-CN"/>
        </w:rPr>
        <w:t>号）、江苏省苏北人民医院开发区分院（定浦路6号）</w:t>
      </w:r>
    </w:p>
    <w:p w14:paraId="5F672661">
      <w:pPr>
        <w:pStyle w:val="3"/>
        <w:numPr>
          <w:ilvl w:val="0"/>
          <w:numId w:val="0"/>
        </w:numPr>
        <w:topLinePunct w:val="0"/>
        <w:ind w:leftChars="200"/>
        <w:rPr>
          <w:rStyle w:val="17"/>
          <w:rFonts w:hint="default" w:ascii="仿宋" w:hAnsi="仿宋" w:eastAsia="仿宋" w:cs="仿宋"/>
          <w:lang w:val="en-US" w:eastAsia="zh-CN"/>
        </w:rPr>
      </w:pPr>
      <w:r>
        <w:rPr>
          <w:rStyle w:val="17"/>
          <w:rFonts w:hint="eastAsia" w:ascii="仿宋" w:hAnsi="仿宋" w:cs="仿宋"/>
          <w:lang w:eastAsia="zh-CN"/>
        </w:rPr>
        <w:t>（</w:t>
      </w:r>
      <w:r>
        <w:rPr>
          <w:rStyle w:val="17"/>
          <w:rFonts w:hint="eastAsia" w:ascii="仿宋" w:hAnsi="仿宋" w:cs="仿宋"/>
          <w:lang w:val="en-US" w:eastAsia="zh-CN"/>
        </w:rPr>
        <w:t>二</w:t>
      </w:r>
      <w:r>
        <w:rPr>
          <w:rStyle w:val="17"/>
          <w:rFonts w:hint="eastAsia" w:ascii="仿宋" w:hAnsi="仿宋" w:cs="仿宋"/>
          <w:lang w:eastAsia="zh-CN"/>
        </w:rPr>
        <w:t>）</w:t>
      </w:r>
      <w:r>
        <w:rPr>
          <w:rStyle w:val="17"/>
          <w:rFonts w:hint="eastAsia" w:ascii="仿宋" w:hAnsi="仿宋" w:cs="仿宋"/>
          <w:lang w:val="en-US" w:eastAsia="zh-CN"/>
        </w:rPr>
        <w:t>回收种类</w:t>
      </w:r>
      <w:r>
        <w:rPr>
          <w:rFonts w:hint="eastAsia" w:ascii="仿宋" w:hAnsi="仿宋" w:eastAsia="仿宋" w:cs="仿宋"/>
        </w:rPr>
        <w:t>（仅限未被污染品类）</w:t>
      </w:r>
    </w:p>
    <w:p w14:paraId="60CF6183">
      <w:pPr>
        <w:pStyle w:val="11"/>
        <w:numPr>
          <w:ilvl w:val="0"/>
          <w:numId w:val="0"/>
        </w:numPr>
        <w:ind w:firstLine="616" w:firstLineChars="200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  <w:rFonts w:hint="eastAsia" w:ascii="仿宋" w:hAnsi="仿宋" w:eastAsia="仿宋" w:cs="仿宋"/>
        </w:rPr>
        <w:t>未被污染一次性玻璃输液瓶</w:t>
      </w:r>
      <w:r>
        <w:rPr>
          <w:rFonts w:hint="eastAsia" w:ascii="仿宋" w:hAnsi="仿宋" w:eastAsia="仿宋" w:cs="仿宋"/>
          <w:sz w:val="32"/>
        </w:rPr>
        <w:t>：临床输液结束后，无患者血液、体液、排泄物污染，去除针头、输液管等污染配件后的空瓶。</w:t>
      </w:r>
    </w:p>
    <w:p w14:paraId="2E6C5EBC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  <w:rFonts w:hint="eastAsia" w:ascii="仿宋" w:hAnsi="仿宋" w:eastAsia="仿宋" w:cs="仿宋"/>
        </w:rPr>
        <w:t>未被污染一次性塑料输液袋</w:t>
      </w:r>
      <w:r>
        <w:rPr>
          <w:rStyle w:val="17"/>
          <w:rFonts w:hint="eastAsia" w:ascii="仿宋" w:hAnsi="仿宋" w:eastAsia="仿宋" w:cs="仿宋"/>
          <w:lang w:eastAsia="zh-CN"/>
        </w:rPr>
        <w:t>，</w:t>
      </w:r>
      <w:r>
        <w:rPr>
          <w:rStyle w:val="17"/>
          <w:rFonts w:hint="eastAsia" w:ascii="仿宋" w:hAnsi="仿宋" w:eastAsia="仿宋" w:cs="仿宋"/>
          <w:lang w:val="en-US" w:eastAsia="zh-CN"/>
        </w:rPr>
        <w:t>塑料输液瓶</w:t>
      </w:r>
      <w:r>
        <w:rPr>
          <w:rFonts w:hint="eastAsia" w:ascii="仿宋" w:hAnsi="仿宋" w:eastAsia="仿宋" w:cs="仿宋"/>
          <w:sz w:val="32"/>
        </w:rPr>
        <w:t>：输液完毕后无污染、无残留药液（或少量洁净残留药液）的空输液袋。</w:t>
      </w:r>
    </w:p>
    <w:p w14:paraId="16F400F7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  <w:rFonts w:hint="eastAsia" w:ascii="仿宋" w:hAnsi="仿宋" w:eastAsia="仿宋" w:cs="仿宋"/>
        </w:rPr>
        <w:t>未被污染透析桶（透析AB壶）</w:t>
      </w:r>
      <w:r>
        <w:rPr>
          <w:rFonts w:hint="eastAsia" w:ascii="仿宋" w:hAnsi="仿宋" w:eastAsia="仿宋" w:cs="仿宋"/>
          <w:sz w:val="32"/>
        </w:rPr>
        <w:t>：血透科室使用完毕、未被污染的透析液A／B液塑料空桶、透析配套空壶。</w:t>
      </w:r>
    </w:p>
    <w:p w14:paraId="60E8EDB0">
      <w:pPr>
        <w:pStyle w:val="11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b/>
          <w:sz w:val="32"/>
        </w:rPr>
        <w:t>严禁回收品类</w:t>
      </w:r>
      <w:r>
        <w:rPr>
          <w:rFonts w:hint="eastAsia" w:ascii="仿宋" w:hAnsi="仿宋" w:eastAsia="仿宋" w:cs="仿宋"/>
          <w:sz w:val="32"/>
        </w:rPr>
        <w:t>：被血液、体液、分泌物、排泄物污染的输液瓶袋、透析桶；带有针头、污染管路、敷料的废弃耗材；过期变质、破损污染的医用物资；所有医疗废物、生活垃圾一律不得混入回收物中。</w:t>
      </w:r>
    </w:p>
    <w:p w14:paraId="019B8444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1" w:name="heading_6"/>
      <w:r>
        <w:rPr>
          <w:rFonts w:hint="eastAsia" w:ascii="仿宋" w:hAnsi="仿宋" w:eastAsia="仿宋" w:cs="仿宋"/>
          <w:lang w:val="en-US" w:eastAsia="zh-CN"/>
        </w:rPr>
        <w:t>三、</w:t>
      </w:r>
      <w:r>
        <w:rPr>
          <w:rFonts w:hint="eastAsia" w:ascii="仿宋" w:hAnsi="仿宋" w:eastAsia="仿宋" w:cs="仿宋"/>
        </w:rPr>
        <w:t>预估回收量</w:t>
      </w:r>
      <w:bookmarkEnd w:id="1"/>
    </w:p>
    <w:p w14:paraId="69EBB879">
      <w:pPr>
        <w:pStyle w:val="11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cs="仿宋"/>
          <w:sz w:val="32"/>
          <w:lang w:eastAsia="zh-CN"/>
        </w:rPr>
        <w:t>目前，医院开放床位数约</w:t>
      </w:r>
      <w:r>
        <w:rPr>
          <w:rFonts w:hint="eastAsia" w:ascii="仿宋" w:hAnsi="仿宋" w:cs="仿宋"/>
          <w:sz w:val="32"/>
          <w:lang w:val="en-US" w:eastAsia="zh-CN"/>
        </w:rPr>
        <w:t>2500张，</w:t>
      </w:r>
      <w:r>
        <w:rPr>
          <w:rFonts w:hint="eastAsia" w:ascii="仿宋" w:hAnsi="仿宋" w:eastAsia="仿宋" w:cs="仿宋"/>
          <w:sz w:val="32"/>
        </w:rPr>
        <w:t>根据医院日常运营产能，结合历年废弃物产生数据，预估年度回收量如下：</w:t>
      </w:r>
    </w:p>
    <w:p w14:paraId="15D3D0EB">
      <w:pPr>
        <w:pStyle w:val="11"/>
        <w:numPr>
          <w:ilvl w:val="0"/>
          <w:numId w:val="2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</w:rPr>
        <w:t>玻璃输液瓶</w:t>
      </w:r>
      <w:r>
        <w:rPr>
          <w:rStyle w:val="17"/>
          <w:rFonts w:hint="eastAsia" w:ascii="仿宋" w:hAnsi="仿宋" w:eastAsia="仿宋" w:cs="仿宋"/>
          <w:lang w:eastAsia="zh-CN"/>
        </w:rPr>
        <w:t>：</w:t>
      </w:r>
      <w:r>
        <w:rPr>
          <w:rFonts w:hint="eastAsia" w:ascii="仿宋" w:hAnsi="仿宋" w:eastAsia="仿宋" w:cs="仿宋"/>
          <w:sz w:val="32"/>
        </w:rPr>
        <w:t>年度预估产量约</w:t>
      </w:r>
      <w:r>
        <w:rPr>
          <w:rStyle w:val="17"/>
          <w:rFonts w:hint="eastAsia" w:ascii="仿宋" w:hAnsi="仿宋" w:eastAsia="仿宋" w:cs="仿宋"/>
        </w:rPr>
        <w:t>49</w:t>
      </w:r>
      <w:r>
        <w:rPr>
          <w:rStyle w:val="17"/>
          <w:rFonts w:hint="eastAsia" w:ascii="仿宋" w:hAnsi="仿宋" w:eastAsia="仿宋" w:cs="仿宋"/>
          <w:lang w:val="en-US" w:eastAsia="zh-CN"/>
        </w:rPr>
        <w:t>吨，</w:t>
      </w:r>
      <w:r>
        <w:rPr>
          <w:rFonts w:hint="eastAsia" w:ascii="仿宋" w:hAnsi="仿宋" w:eastAsia="仿宋" w:cs="仿宋"/>
          <w:sz w:val="32"/>
        </w:rPr>
        <w:t>根据科室接诊量动态浮动；</w:t>
      </w:r>
    </w:p>
    <w:p w14:paraId="71D79081">
      <w:pPr>
        <w:pStyle w:val="11"/>
        <w:numPr>
          <w:ilvl w:val="0"/>
          <w:numId w:val="2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</w:rPr>
        <w:t>塑料输液</w:t>
      </w:r>
      <w:r>
        <w:rPr>
          <w:rStyle w:val="17"/>
          <w:rFonts w:hint="eastAsia" w:ascii="仿宋" w:hAnsi="仿宋" w:eastAsia="仿宋" w:cs="仿宋"/>
          <w:lang w:val="en-US" w:eastAsia="zh-CN"/>
        </w:rPr>
        <w:t>瓶</w:t>
      </w:r>
      <w:r>
        <w:rPr>
          <w:rStyle w:val="17"/>
          <w:rFonts w:hint="eastAsia" w:ascii="仿宋" w:hAnsi="仿宋" w:eastAsia="仿宋" w:cs="仿宋"/>
        </w:rPr>
        <w:t>／袋</w:t>
      </w:r>
      <w:r>
        <w:rPr>
          <w:rFonts w:hint="eastAsia" w:ascii="仿宋" w:hAnsi="仿宋" w:eastAsia="仿宋" w:cs="仿宋"/>
          <w:sz w:val="32"/>
        </w:rPr>
        <w:t>：年度预估产量约4</w:t>
      </w:r>
      <w:r>
        <w:rPr>
          <w:rFonts w:hint="eastAsia" w:ascii="仿宋" w:hAnsi="仿宋" w:eastAsia="仿宋" w:cs="仿宋"/>
          <w:sz w:val="32"/>
          <w:lang w:val="en-US" w:eastAsia="zh-CN"/>
        </w:rPr>
        <w:t>8吨</w:t>
      </w:r>
      <w:r>
        <w:rPr>
          <w:rFonts w:hint="eastAsia" w:ascii="仿宋" w:hAnsi="仿宋" w:eastAsia="仿宋" w:cs="仿宋"/>
          <w:sz w:val="32"/>
        </w:rPr>
        <w:t>，根据科室接诊量动态浮动；</w:t>
      </w:r>
    </w:p>
    <w:p w14:paraId="2E8FB2E6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  <w:lang w:val="en-US" w:eastAsia="zh-CN"/>
        </w:rPr>
        <w:t>3</w:t>
      </w:r>
      <w:r>
        <w:rPr>
          <w:rStyle w:val="17"/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  <w:rFonts w:hint="eastAsia" w:ascii="仿宋" w:hAnsi="仿宋" w:eastAsia="仿宋" w:cs="仿宋"/>
        </w:rPr>
        <w:t>透析AB桶／透析壶</w:t>
      </w:r>
      <w:r>
        <w:rPr>
          <w:rFonts w:hint="eastAsia" w:ascii="仿宋" w:hAnsi="仿宋" w:eastAsia="仿宋" w:cs="仿宋"/>
          <w:sz w:val="32"/>
        </w:rPr>
        <w:t>：</w:t>
      </w:r>
      <w:r>
        <w:rPr>
          <w:rFonts w:hint="eastAsia" w:ascii="仿宋" w:hAnsi="仿宋" w:eastAsia="仿宋" w:cs="仿宋"/>
          <w:sz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</w:rPr>
        <w:t>度固定产生量约</w:t>
      </w:r>
      <w:r>
        <w:rPr>
          <w:rFonts w:hint="eastAsia" w:ascii="仿宋" w:hAnsi="仿宋" w:eastAsia="仿宋" w:cs="仿宋"/>
          <w:sz w:val="32"/>
          <w:lang w:val="en-US" w:eastAsia="zh-CN"/>
        </w:rPr>
        <w:t>1800</w:t>
      </w:r>
      <w:r>
        <w:rPr>
          <w:rFonts w:hint="eastAsia" w:ascii="仿宋" w:hAnsi="仿宋" w:eastAsia="仿宋" w:cs="仿宋"/>
          <w:sz w:val="32"/>
        </w:rPr>
        <w:t>个，随血透患者接诊量小幅波动。</w:t>
      </w:r>
    </w:p>
    <w:p w14:paraId="5DC9057B">
      <w:pPr>
        <w:pStyle w:val="11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供应商需无条件适配医院回收量动态变化，不得因产量波动推诿清运、降低服务标准。</w:t>
      </w:r>
    </w:p>
    <w:p w14:paraId="402284BB">
      <w:pPr>
        <w:pStyle w:val="11"/>
        <w:numPr>
          <w:ilvl w:val="0"/>
          <w:numId w:val="3"/>
        </w:numPr>
        <w:ind w:firstLine="924" w:firstLineChars="300"/>
        <w:rPr>
          <w:rFonts w:hint="eastAsia" w:ascii="仿宋" w:hAnsi="仿宋" w:cs="仿宋"/>
          <w:sz w:val="32"/>
          <w:lang w:val="en-US" w:eastAsia="zh-CN"/>
        </w:rPr>
      </w:pPr>
      <w:r>
        <w:rPr>
          <w:rFonts w:hint="eastAsia" w:ascii="仿宋" w:hAnsi="仿宋" w:cs="仿宋"/>
          <w:sz w:val="32"/>
          <w:lang w:val="en-US" w:eastAsia="zh-CN"/>
        </w:rPr>
        <w:t>报价</w:t>
      </w:r>
    </w:p>
    <w:p w14:paraId="0EDFA5AD">
      <w:pPr>
        <w:pStyle w:val="11"/>
        <w:numPr>
          <w:ilvl w:val="0"/>
          <w:numId w:val="0"/>
        </w:numPr>
        <w:ind w:firstLine="616" w:firstLineChars="200"/>
        <w:rPr>
          <w:rFonts w:hint="eastAsia" w:ascii="仿宋" w:hAnsi="仿宋" w:cs="仿宋"/>
          <w:i/>
          <w:iCs/>
          <w:sz w:val="32"/>
          <w:u w:val="single"/>
          <w:lang w:val="en-US" w:eastAsia="zh-CN"/>
        </w:rPr>
      </w:pPr>
      <w:r>
        <w:rPr>
          <w:rFonts w:hint="eastAsia" w:ascii="仿宋" w:hAnsi="仿宋" w:cs="仿宋"/>
          <w:i w:val="0"/>
          <w:iCs w:val="0"/>
          <w:sz w:val="32"/>
          <w:u w:val="none"/>
          <w:lang w:val="en-US" w:eastAsia="zh-CN"/>
        </w:rPr>
        <w:t>本项目按照</w:t>
      </w:r>
      <w:r>
        <w:rPr>
          <w:rFonts w:hint="eastAsia" w:ascii="仿宋" w:hAnsi="仿宋" w:cs="仿宋"/>
          <w:i w:val="0"/>
          <w:iCs w:val="0"/>
          <w:color w:val="FF0000"/>
          <w:sz w:val="32"/>
          <w:u w:val="none"/>
          <w:lang w:val="en-US" w:eastAsia="zh-CN"/>
        </w:rPr>
        <w:t>每年固定总价进行报价</w:t>
      </w:r>
      <w:r>
        <w:rPr>
          <w:rFonts w:hint="eastAsia" w:ascii="仿宋" w:hAnsi="仿宋" w:cs="仿宋"/>
          <w:i w:val="0"/>
          <w:iCs w:val="0"/>
          <w:sz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sz w:val="32"/>
          <w:u w:val="none"/>
          <w:lang w:val="en-US" w:eastAsia="zh-CN"/>
        </w:rPr>
        <w:t>供应商</w:t>
      </w:r>
      <w:r>
        <w:rPr>
          <w:rFonts w:hint="eastAsia" w:ascii="仿宋" w:hAnsi="仿宋" w:cs="仿宋"/>
          <w:i w:val="0"/>
          <w:iCs w:val="0"/>
          <w:sz w:val="32"/>
          <w:u w:val="none"/>
          <w:lang w:val="en-US" w:eastAsia="zh-CN"/>
        </w:rPr>
        <w:t>入住前必须预付给医院一年度固定总价1/2，每半年预付一次，如不按照上述执行，医院有权终止合同，</w:t>
      </w:r>
    </w:p>
    <w:p w14:paraId="1FBECF5D">
      <w:pPr>
        <w:pStyle w:val="11"/>
        <w:numPr>
          <w:ilvl w:val="0"/>
          <w:numId w:val="0"/>
        </w:numPr>
        <w:ind w:firstLine="616" w:firstLineChars="200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本项目为供应商向医院支付回收物资费用模式，报价为固定总价，包含收集、消杀、清运、处置、耗材、人工、运输、税费等所有费用，医院无需额外支付任何服务费。</w:t>
      </w:r>
    </w:p>
    <w:p w14:paraId="29CCF266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2" w:name="heading_7"/>
      <w:r>
        <w:rPr>
          <w:rFonts w:hint="eastAsia" w:ascii="仿宋" w:hAnsi="仿宋" w:eastAsia="仿宋" w:cs="仿宋"/>
          <w:lang w:val="en-US" w:eastAsia="zh-CN"/>
        </w:rPr>
        <w:t>五、</w:t>
      </w:r>
      <w:r>
        <w:rPr>
          <w:rFonts w:hint="eastAsia" w:ascii="仿宋" w:hAnsi="仿宋" w:eastAsia="仿宋" w:cs="仿宋"/>
        </w:rPr>
        <w:t>服务期限</w:t>
      </w:r>
      <w:bookmarkEnd w:id="2"/>
    </w:p>
    <w:p w14:paraId="6EB988E1">
      <w:pPr>
        <w:pStyle w:val="11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服务期限为3年，</w:t>
      </w:r>
      <w:r>
        <w:rPr>
          <w:rFonts w:hint="eastAsia" w:ascii="仿宋" w:hAnsi="仿宋" w:cs="仿宋"/>
          <w:sz w:val="32"/>
          <w:lang w:eastAsia="zh-CN"/>
        </w:rPr>
        <w:t>定期考核，</w:t>
      </w:r>
      <w:r>
        <w:rPr>
          <w:rFonts w:hint="eastAsia" w:ascii="仿宋" w:hAnsi="仿宋" w:eastAsia="仿宋" w:cs="仿宋"/>
          <w:sz w:val="32"/>
        </w:rPr>
        <w:t>考核不合格立即终止合同，医院有权重新遴选服务商。</w:t>
      </w:r>
    </w:p>
    <w:p w14:paraId="7855DC59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3" w:name="heading_8"/>
      <w:r>
        <w:rPr>
          <w:rFonts w:hint="eastAsia" w:ascii="仿宋" w:hAnsi="仿宋" w:eastAsia="仿宋" w:cs="仿宋"/>
          <w:lang w:val="en-US" w:eastAsia="zh-CN"/>
        </w:rPr>
        <w:t>六、</w:t>
      </w:r>
      <w:r>
        <w:rPr>
          <w:rFonts w:hint="eastAsia" w:ascii="仿宋" w:hAnsi="仿宋" w:eastAsia="仿宋" w:cs="仿宋"/>
        </w:rPr>
        <w:t>供应商资质要求</w:t>
      </w:r>
      <w:bookmarkEnd w:id="3"/>
    </w:p>
    <w:p w14:paraId="229D1865">
      <w:pPr>
        <w:pStyle w:val="11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供应商必须具备独立法人资格，证照齐全、合法合规，无环保处罚、无失信记录，严禁转包、分包、挂靠经营，不接受联合体投标。具体资质要求如下：</w:t>
      </w:r>
    </w:p>
    <w:p w14:paraId="1B5CBFE7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（一）</w:t>
      </w:r>
      <w:r>
        <w:rPr>
          <w:rStyle w:val="18"/>
          <w:rFonts w:hint="eastAsia" w:ascii="仿宋" w:hAnsi="仿宋" w:eastAsia="仿宋" w:cs="仿宋"/>
        </w:rPr>
        <w:t>营业执照</w:t>
      </w:r>
      <w:r>
        <w:rPr>
          <w:rFonts w:hint="eastAsia" w:ascii="仿宋" w:hAnsi="仿宋" w:eastAsia="仿宋" w:cs="仿宋"/>
          <w:sz w:val="32"/>
        </w:rPr>
        <w:t>：具备独立法人营业执照，经营范围包含废旧塑料、医用可回收物回收、处置、再生利用相关内容。</w:t>
      </w:r>
    </w:p>
    <w:p w14:paraId="559049EE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（二）</w:t>
      </w:r>
      <w:r>
        <w:rPr>
          <w:rStyle w:val="18"/>
          <w:rFonts w:hint="eastAsia" w:ascii="仿宋" w:hAnsi="仿宋" w:eastAsia="仿宋" w:cs="仿宋"/>
        </w:rPr>
        <w:t>环保资质</w:t>
      </w:r>
      <w:r>
        <w:rPr>
          <w:rFonts w:hint="eastAsia" w:ascii="仿宋" w:hAnsi="仿宋" w:eastAsia="仿宋" w:cs="仿宋"/>
          <w:sz w:val="32"/>
        </w:rPr>
        <w:t>：具备有效的固体废物回收处置相关备案资质、环保审批手续，持有合法有效的排污许可证或相关环保合规证明，具备医用可回收物专项处置能力。</w:t>
      </w:r>
    </w:p>
    <w:p w14:paraId="0F8FADF9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（三）</w:t>
      </w:r>
      <w:r>
        <w:rPr>
          <w:rStyle w:val="18"/>
          <w:rFonts w:hint="eastAsia" w:ascii="仿宋" w:hAnsi="仿宋" w:eastAsia="仿宋" w:cs="仿宋"/>
        </w:rPr>
        <w:t>处置资质</w:t>
      </w:r>
      <w:r>
        <w:rPr>
          <w:rFonts w:hint="eastAsia" w:ascii="仿宋" w:hAnsi="仿宋" w:eastAsia="仿宋" w:cs="仿宋"/>
          <w:sz w:val="32"/>
        </w:rPr>
        <w:t>：具备可回收医用塑料、玻璃制品资源化再生处置资质，拥有固定的处置厂区、成套加工处置设备，严禁私自倒卖、随意倾倒、简易填埋焚烧。</w:t>
      </w:r>
    </w:p>
    <w:p w14:paraId="0DD02BD8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（四）</w:t>
      </w:r>
      <w:r>
        <w:rPr>
          <w:rStyle w:val="18"/>
          <w:rFonts w:hint="eastAsia" w:ascii="仿宋" w:hAnsi="仿宋" w:eastAsia="仿宋" w:cs="仿宋"/>
        </w:rPr>
        <w:t>车辆资质</w:t>
      </w:r>
      <w:r>
        <w:rPr>
          <w:rFonts w:hint="eastAsia" w:ascii="仿宋" w:hAnsi="仿宋" w:eastAsia="仿宋" w:cs="仿宋"/>
          <w:sz w:val="32"/>
        </w:rPr>
        <w:t>：自有或长期签约专用回收清运车辆，车辆具备密闭运输条件，证照齐全、年检合格，专车专用，严禁混装医疗废物、生活垃圾及其他废弃物。</w:t>
      </w:r>
    </w:p>
    <w:p w14:paraId="253745C9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sz w:val="32"/>
          <w:lang w:eastAsia="zh-CN"/>
        </w:rPr>
      </w:pPr>
      <w:r>
        <w:rPr>
          <w:rFonts w:hint="eastAsia" w:ascii="仿宋" w:hAnsi="仿宋" w:eastAsia="仿宋" w:cs="仿宋"/>
          <w:sz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lang w:eastAsia="zh-CN"/>
        </w:rPr>
        <w:t>）</w:t>
      </w:r>
      <w:r>
        <w:rPr>
          <w:rStyle w:val="18"/>
          <w:rFonts w:hint="eastAsia" w:ascii="仿宋" w:hAnsi="仿宋" w:eastAsia="仿宋" w:cs="仿宋"/>
        </w:rPr>
        <w:t>信用要求</w:t>
      </w:r>
      <w:r>
        <w:rPr>
          <w:rFonts w:hint="eastAsia" w:ascii="仿宋" w:hAnsi="仿宋" w:eastAsia="仿宋" w:cs="仿宋"/>
          <w:sz w:val="32"/>
        </w:rPr>
        <w:t>：近3年内无环保行政处罚、无安全生产事故、无失信被执行人记录、无医疗废弃物违规处置不良记录，可提供信用查询证明。</w:t>
      </w:r>
    </w:p>
    <w:p w14:paraId="3C906B9A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sz w:val="32"/>
        </w:rPr>
      </w:pPr>
      <w:r>
        <w:rPr>
          <w:rStyle w:val="18"/>
          <w:rFonts w:hint="eastAsia" w:ascii="仿宋" w:hAnsi="仿宋" w:eastAsia="仿宋" w:cs="仿宋"/>
          <w:lang w:val="en-US" w:eastAsia="zh-CN"/>
        </w:rPr>
        <w:t>七、</w:t>
      </w:r>
      <w:r>
        <w:rPr>
          <w:rStyle w:val="18"/>
          <w:rFonts w:hint="eastAsia" w:ascii="仿宋" w:hAnsi="仿宋" w:eastAsia="仿宋" w:cs="仿宋"/>
        </w:rPr>
        <w:t>人员</w:t>
      </w:r>
      <w:r>
        <w:rPr>
          <w:rStyle w:val="18"/>
          <w:rFonts w:hint="eastAsia" w:ascii="仿宋" w:hAnsi="仿宋" w:eastAsia="仿宋" w:cs="仿宋"/>
          <w:lang w:val="en-US" w:eastAsia="zh-CN"/>
        </w:rPr>
        <w:t>要求</w:t>
      </w:r>
      <w:r>
        <w:rPr>
          <w:rFonts w:hint="eastAsia" w:ascii="仿宋" w:hAnsi="仿宋" w:eastAsia="仿宋" w:cs="仿宋"/>
          <w:sz w:val="32"/>
        </w:rPr>
        <w:t>：</w:t>
      </w:r>
    </w:p>
    <w:p w14:paraId="11BAB1BE">
      <w:pPr>
        <w:pStyle w:val="11"/>
        <w:numPr>
          <w:ilvl w:val="0"/>
          <w:numId w:val="0"/>
        </w:numPr>
        <w:ind w:left="0" w:leftChars="0" w:firstLine="616"/>
        <w:rPr>
          <w:rFonts w:ascii="仿宋_GB2312" w:hAnsi="仿宋_GB2312" w:eastAsia="仿宋" w:cs="Times New Roman"/>
          <w:b w:val="0"/>
          <w:sz w:val="32"/>
        </w:rPr>
      </w:pPr>
      <w:r>
        <w:rPr>
          <w:rFonts w:hint="eastAsia" w:cs="Times New Roman"/>
          <w:sz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ascii="仿宋_GB2312" w:hAnsi="仿宋_GB2312" w:eastAsia="仿宋" w:cs="Times New Roman"/>
          <w:sz w:val="32"/>
        </w:rPr>
        <w:t>配备</w:t>
      </w:r>
      <w:r>
        <w:rPr>
          <w:rFonts w:hint="eastAsia" w:cs="Times New Roman"/>
          <w:sz w:val="32"/>
          <w:lang w:val="en-US" w:eastAsia="zh-CN"/>
        </w:rPr>
        <w:t>3名</w:t>
      </w:r>
      <w:r>
        <w:rPr>
          <w:rFonts w:ascii="仿宋_GB2312" w:hAnsi="仿宋_GB2312" w:eastAsia="仿宋" w:cs="Times New Roman"/>
          <w:sz w:val="32"/>
        </w:rPr>
        <w:t>固定驻场作业人员，人员稳定，不得随意频繁更换；如需更换人员，需提前3个工作日向医院报备，经院感及后勤部门审核后方可上岗。</w:t>
      </w:r>
    </w:p>
    <w:p w14:paraId="2BD4568B">
      <w:pPr>
        <w:pStyle w:val="11"/>
        <w:numPr>
          <w:ilvl w:val="0"/>
          <w:numId w:val="0"/>
        </w:numPr>
        <w:ind w:left="0" w:leftChars="0" w:firstLine="616"/>
        <w:rPr>
          <w:rFonts w:ascii="仿宋_GB2312" w:hAnsi="仿宋_GB2312" w:eastAsia="仿宋" w:cs="Times New Roman"/>
          <w:b w:val="0"/>
          <w:sz w:val="32"/>
        </w:rPr>
      </w:pPr>
      <w:r>
        <w:rPr>
          <w:rFonts w:hint="eastAsia" w:cs="Times New Roman"/>
          <w:sz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ascii="仿宋_GB2312" w:hAnsi="仿宋_GB2312" w:eastAsia="仿宋" w:cs="Times New Roman"/>
          <w:sz w:val="32"/>
        </w:rPr>
        <w:t>作业人员统一着装、佩戴工牌、防护用品，严格遵守医院规章制度、院感制度、消防安全制度，文明作业、规范服务。</w:t>
      </w:r>
    </w:p>
    <w:p w14:paraId="3E18E02A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cs="仿宋"/>
          <w:sz w:val="32"/>
          <w:lang w:val="en-US" w:eastAsia="zh-CN"/>
        </w:rPr>
        <w:t xml:space="preserve">3. </w:t>
      </w:r>
      <w:r>
        <w:rPr>
          <w:rFonts w:hint="eastAsia" w:ascii="仿宋" w:hAnsi="仿宋" w:eastAsia="仿宋" w:cs="仿宋"/>
          <w:sz w:val="32"/>
        </w:rPr>
        <w:t>现场</w:t>
      </w:r>
      <w:r>
        <w:rPr>
          <w:rFonts w:hint="eastAsia" w:ascii="仿宋" w:hAnsi="仿宋" w:eastAsia="仿宋" w:cs="仿宋"/>
          <w:sz w:val="32"/>
          <w:lang w:val="en-US" w:eastAsia="zh-CN"/>
        </w:rPr>
        <w:t>驻场</w:t>
      </w:r>
      <w:r>
        <w:rPr>
          <w:rFonts w:hint="eastAsia" w:ascii="仿宋" w:hAnsi="仿宋" w:eastAsia="仿宋" w:cs="仿宋"/>
          <w:sz w:val="32"/>
        </w:rPr>
        <w:t>作业人员需经过医用可回收物分类、消杀、安全作业专项培训，熟悉医院院感管控要求，无传染病、无不良从业记录。</w:t>
      </w:r>
    </w:p>
    <w:p w14:paraId="27C2DBEE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  <w:lang w:eastAsia="zh-CN"/>
        </w:rPr>
      </w:pPr>
      <w:r>
        <w:rPr>
          <w:rFonts w:hint="eastAsia" w:ascii="仿宋" w:hAnsi="仿宋" w:cs="仿宋"/>
          <w:sz w:val="32"/>
          <w:lang w:val="en-US" w:eastAsia="zh-CN"/>
        </w:rPr>
        <w:t xml:space="preserve">4. </w:t>
      </w:r>
      <w:r>
        <w:rPr>
          <w:rFonts w:hint="eastAsia" w:ascii="仿宋" w:hAnsi="仿宋" w:eastAsia="仿宋" w:cs="仿宋"/>
          <w:sz w:val="32"/>
        </w:rPr>
        <w:t>成交供应商负责为其驻场人员依法办理劳动用工手续，并承担其人员的工资报酬、劳保福利、养老保险等全部用工费用，发生工伤事故、人事、劳资纠纷等由成交供应商自行解决并承担全部责任</w:t>
      </w:r>
      <w:r>
        <w:rPr>
          <w:rFonts w:hint="eastAsia" w:ascii="仿宋" w:hAnsi="仿宋" w:eastAsia="仿宋" w:cs="仿宋"/>
          <w:sz w:val="32"/>
          <w:lang w:eastAsia="zh-CN"/>
        </w:rPr>
        <w:t>。</w:t>
      </w:r>
    </w:p>
    <w:p w14:paraId="61E86448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4" w:name="heading_9"/>
      <w:r>
        <w:rPr>
          <w:rFonts w:hint="eastAsia" w:ascii="仿宋" w:hAnsi="仿宋" w:eastAsia="仿宋" w:cs="仿宋"/>
          <w:lang w:val="en-US" w:eastAsia="zh-CN"/>
        </w:rPr>
        <w:t>八、</w:t>
      </w:r>
      <w:r>
        <w:rPr>
          <w:rFonts w:hint="eastAsia" w:ascii="仿宋" w:hAnsi="仿宋" w:eastAsia="仿宋" w:cs="仿宋"/>
        </w:rPr>
        <w:t>全流程作业规范要求</w:t>
      </w:r>
      <w:bookmarkEnd w:id="4"/>
    </w:p>
    <w:p w14:paraId="751D8A6E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5" w:name="heading_10"/>
      <w:r>
        <w:rPr>
          <w:rFonts w:hint="eastAsia" w:ascii="仿宋" w:hAnsi="仿宋" w:eastAsia="仿宋" w:cs="仿宋"/>
          <w:lang w:eastAsia="zh-CN"/>
        </w:rPr>
        <w:t>（一）</w:t>
      </w:r>
      <w:r>
        <w:rPr>
          <w:rFonts w:hint="eastAsia" w:ascii="仿宋" w:hAnsi="仿宋" w:eastAsia="仿宋" w:cs="仿宋"/>
        </w:rPr>
        <w:t>分类收集规范</w:t>
      </w:r>
      <w:bookmarkEnd w:id="5"/>
    </w:p>
    <w:p w14:paraId="14E8661B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Fonts w:hint="eastAsia" w:ascii="仿宋" w:hAnsi="仿宋" w:eastAsia="仿宋" w:cs="仿宋"/>
          <w:sz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供应商免费提供符合院感标准的专用分类收集容器，容器为密闭式、带标识、防渗漏、易清洗消毒，区分输液瓶袋、透析桶专用收集桶，张贴清晰的“未被污染医用可回收物”标识，严禁混用普通垃圾桶。</w:t>
      </w:r>
    </w:p>
    <w:p w14:paraId="1DE8838B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Fonts w:hint="eastAsia" w:ascii="仿宋" w:hAnsi="仿宋" w:eastAsia="仿宋" w:cs="仿宋"/>
          <w:sz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协助医院各科室做好前端分类指导，严格执行“无污染单独收集、污染坚决剔除”原则，对混入的污染废弃物、医疗废物当场分拣剔除，交由医院按医疗废物规范处置。</w:t>
      </w:r>
    </w:p>
    <w:p w14:paraId="5CAA33F6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Fonts w:hint="eastAsia" w:ascii="仿宋" w:hAnsi="仿宋" w:eastAsia="仿宋" w:cs="仿宋"/>
          <w:sz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收集作业全程轻拿轻放，避免破损、渗漏、扬尘，作业后及时对收集区域、容器表面进行清洁消毒，符合院感防控要求。</w:t>
      </w:r>
    </w:p>
    <w:p w14:paraId="6B784FD4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6" w:name="heading_11"/>
      <w:r>
        <w:rPr>
          <w:rFonts w:hint="eastAsia" w:ascii="仿宋" w:hAnsi="仿宋" w:eastAsia="仿宋" w:cs="仿宋"/>
          <w:lang w:eastAsia="zh-CN"/>
        </w:rPr>
        <w:t>（二）</w:t>
      </w:r>
      <w:r>
        <w:rPr>
          <w:rFonts w:hint="eastAsia" w:ascii="仿宋" w:hAnsi="仿宋" w:eastAsia="仿宋" w:cs="仿宋"/>
        </w:rPr>
        <w:t>院内暂存管理规范</w:t>
      </w:r>
      <w:bookmarkEnd w:id="6"/>
    </w:p>
    <w:p w14:paraId="37800181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Fonts w:hint="eastAsia" w:ascii="仿宋" w:hAnsi="仿宋" w:eastAsia="仿宋" w:cs="仿宋"/>
          <w:sz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配合医院指定专用独立暂存区域，回收物分类整齐堆放，分区存放输液瓶袋、透析桶，标识清晰，摆放有序，不得占用消防通道、诊疗通道。</w:t>
      </w:r>
    </w:p>
    <w:p w14:paraId="4F9E07EC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Fonts w:hint="eastAsia" w:ascii="仿宋" w:hAnsi="仿宋" w:eastAsia="仿宋" w:cs="仿宋"/>
          <w:sz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暂存区域每日定时清洁、消杀，做好防潮、防鼠、防虫、防雨、防污染防护，杜绝异味、积水、杂物堆积。</w:t>
      </w:r>
    </w:p>
    <w:p w14:paraId="28C14102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Fonts w:hint="eastAsia" w:ascii="仿宋" w:hAnsi="仿宋" w:eastAsia="仿宋" w:cs="仿宋"/>
          <w:sz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暂存物资做到</w:t>
      </w:r>
      <w:r>
        <w:rPr>
          <w:rFonts w:hint="eastAsia" w:ascii="仿宋" w:hAnsi="仿宋" w:eastAsia="仿宋" w:cs="仿宋"/>
          <w:sz w:val="32"/>
          <w:lang w:val="en-US" w:eastAsia="zh-CN"/>
        </w:rPr>
        <w:t>48小时内清理</w:t>
      </w:r>
      <w:r>
        <w:rPr>
          <w:rFonts w:hint="eastAsia" w:ascii="仿宋" w:hAnsi="仿宋" w:eastAsia="仿宋" w:cs="仿宋"/>
          <w:sz w:val="32"/>
        </w:rPr>
        <w:t>，严禁长期积压滞留，杜绝滋生蚊虫、产生异味及二次污染问题。</w:t>
      </w:r>
    </w:p>
    <w:p w14:paraId="43B77A27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7" w:name="heading_12"/>
      <w:r>
        <w:rPr>
          <w:rFonts w:hint="eastAsia" w:ascii="仿宋" w:hAnsi="仿宋" w:eastAsia="仿宋" w:cs="仿宋"/>
          <w:lang w:eastAsia="zh-CN"/>
        </w:rPr>
        <w:t>（三）</w:t>
      </w:r>
      <w:r>
        <w:rPr>
          <w:rFonts w:hint="eastAsia" w:ascii="仿宋" w:hAnsi="仿宋" w:eastAsia="仿宋" w:cs="仿宋"/>
        </w:rPr>
        <w:t>清运作业规范</w:t>
      </w:r>
      <w:bookmarkEnd w:id="7"/>
    </w:p>
    <w:p w14:paraId="2D22A237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  <w:rFonts w:hint="eastAsia" w:ascii="仿宋" w:hAnsi="仿宋" w:eastAsia="仿宋" w:cs="仿宋"/>
        </w:rPr>
        <w:t>清运频次</w:t>
      </w:r>
      <w:r>
        <w:rPr>
          <w:rFonts w:hint="eastAsia" w:ascii="仿宋" w:hAnsi="仿宋" w:eastAsia="仿宋" w:cs="仿宋"/>
          <w:sz w:val="32"/>
        </w:rPr>
        <w:t>：常规每日定时清运1次；高峰期、节假日、物资积存较多时需增加清运频次，确保无堆积、无滞留；血透科室透析桶做到随积随清，保障科室正常运营。</w:t>
      </w:r>
    </w:p>
    <w:p w14:paraId="71751C73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  <w:rFonts w:hint="eastAsia" w:ascii="仿宋" w:hAnsi="仿宋" w:eastAsia="仿宋" w:cs="仿宋"/>
        </w:rPr>
        <w:t>清运时间</w:t>
      </w:r>
      <w:r>
        <w:rPr>
          <w:rFonts w:hint="eastAsia" w:ascii="仿宋" w:hAnsi="仿宋" w:eastAsia="仿宋" w:cs="仿宋"/>
          <w:sz w:val="32"/>
        </w:rPr>
        <w:t>：避开医院诊疗高峰时段，优先选择非接诊时段作业，减少对患者诊疗、就医环境的影响。</w:t>
      </w:r>
    </w:p>
    <w:p w14:paraId="24A81141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  <w:rFonts w:hint="eastAsia" w:ascii="仿宋" w:hAnsi="仿宋" w:eastAsia="仿宋" w:cs="仿宋"/>
        </w:rPr>
        <w:t>运输要求</w:t>
      </w:r>
      <w:r>
        <w:rPr>
          <w:rFonts w:hint="eastAsia" w:ascii="仿宋" w:hAnsi="仿宋" w:eastAsia="仿宋" w:cs="仿宋"/>
          <w:sz w:val="32"/>
        </w:rPr>
        <w:t>：全程密闭运输，专车专用，不得混装其他垃圾、危废、医疗废物；运输车辆进出医院需遵守医院门禁、动线管理规定，服从安保及后勤部门管理。</w:t>
      </w:r>
    </w:p>
    <w:p w14:paraId="4F0140F0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7"/>
          <w:rFonts w:hint="eastAsia" w:ascii="仿宋" w:hAnsi="仿宋" w:eastAsia="仿宋" w:cs="仿宋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  <w:rFonts w:hint="eastAsia" w:ascii="仿宋" w:hAnsi="仿宋" w:eastAsia="仿宋" w:cs="仿宋"/>
        </w:rPr>
        <w:t>现场复原</w:t>
      </w:r>
      <w:r>
        <w:rPr>
          <w:rFonts w:hint="eastAsia" w:ascii="仿宋" w:hAnsi="仿宋" w:eastAsia="仿宋" w:cs="仿宋"/>
          <w:sz w:val="32"/>
        </w:rPr>
        <w:t>：清运完毕后，立即清理作业现场，清扫杂物、消杀场地，恢复场地整洁，清空后的收集容器归位摆放整齐。</w:t>
      </w:r>
    </w:p>
    <w:p w14:paraId="5F87AF9F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8" w:name="heading_14"/>
      <w:r>
        <w:rPr>
          <w:rFonts w:hint="eastAsia" w:ascii="仿宋" w:hAnsi="仿宋" w:eastAsia="仿宋" w:cs="仿宋"/>
          <w:lang w:val="en-US" w:eastAsia="zh-CN"/>
        </w:rPr>
        <w:t>九</w:t>
      </w:r>
      <w:r>
        <w:rPr>
          <w:rFonts w:hint="eastAsia" w:ascii="仿宋" w:hAnsi="仿宋" w:eastAsia="仿宋" w:cs="仿宋"/>
          <w:lang w:eastAsia="zh-CN"/>
        </w:rPr>
        <w:t>、</w:t>
      </w:r>
      <w:r>
        <w:rPr>
          <w:rFonts w:hint="eastAsia" w:ascii="仿宋" w:hAnsi="仿宋" w:eastAsia="仿宋" w:cs="仿宋"/>
        </w:rPr>
        <w:t>台账与溯源管理要求</w:t>
      </w:r>
      <w:bookmarkEnd w:id="8"/>
    </w:p>
    <w:p w14:paraId="43437594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Fonts w:hint="eastAsia" w:ascii="仿宋" w:hAnsi="仿宋" w:eastAsia="仿宋" w:cs="仿宋"/>
          <w:sz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每月汇总生成月度回收处置报表，每季度向医院后勤管理部门提交台账汇总资料，年度提交全年处置总结报告。</w:t>
      </w:r>
    </w:p>
    <w:p w14:paraId="7B6FC911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Fonts w:hint="eastAsia" w:ascii="仿宋" w:hAnsi="仿宋" w:eastAsia="仿宋" w:cs="仿宋"/>
          <w:sz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台账资料需留存不少于3年，做到数据真实、完整、可追溯，随时接受卫健、生态环境部门及医院核查、抽检。</w:t>
      </w:r>
    </w:p>
    <w:p w14:paraId="7593D494">
      <w:pPr>
        <w:pStyle w:val="11"/>
        <w:numPr>
          <w:ilvl w:val="0"/>
          <w:numId w:val="0"/>
        </w:numPr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Fonts w:hint="eastAsia" w:ascii="仿宋" w:hAnsi="仿宋" w:eastAsia="仿宋" w:cs="仿宋"/>
          <w:sz w:val="32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</w:rPr>
        <w:t>如需监管报备、专项检查配合，供应商需全程协助，及时提供相关资质、台账、处置凭证等材料。</w:t>
      </w:r>
    </w:p>
    <w:p w14:paraId="6A72D067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bookmarkStart w:id="9" w:name="heading_18"/>
      <w:r>
        <w:rPr>
          <w:rFonts w:hint="eastAsia"/>
          <w:lang w:eastAsia="zh-CN"/>
        </w:rPr>
        <w:t>（三）</w:t>
      </w:r>
      <w:r>
        <w:t>应急保障</w:t>
      </w:r>
      <w:bookmarkEnd w:id="9"/>
    </w:p>
    <w:p w14:paraId="123528C0">
      <w:pPr>
        <w:pStyle w:val="11"/>
        <w:numPr>
          <w:ilvl w:val="0"/>
          <w:numId w:val="0"/>
        </w:numPr>
        <w:ind w:left="0" w:leftChars="0" w:firstLine="616"/>
        <w:rPr>
          <w:rFonts w:ascii="仿宋_GB2312" w:hAnsi="仿宋_GB2312" w:eastAsia="仿宋" w:cs="Times New Roman"/>
          <w:b w:val="0"/>
          <w:sz w:val="32"/>
        </w:rPr>
      </w:pPr>
      <w:r>
        <w:rPr>
          <w:rFonts w:hint="eastAsia" w:cs="Times New Roman"/>
          <w:sz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ascii="仿宋_GB2312" w:hAnsi="仿宋_GB2312" w:eastAsia="仿宋" w:cs="Times New Roman"/>
          <w:sz w:val="32"/>
        </w:rPr>
        <w:t>建立应急清运机制，针对节假日、突发疫情、诊疗高峰、极端天气等特殊情况，提前制定应急预案，保障清运工作不中断。</w:t>
      </w:r>
    </w:p>
    <w:p w14:paraId="1B0E940C">
      <w:pPr>
        <w:pStyle w:val="11"/>
        <w:numPr>
          <w:ilvl w:val="0"/>
          <w:numId w:val="0"/>
        </w:numPr>
        <w:ind w:left="0" w:leftChars="0" w:firstLine="616"/>
        <w:rPr>
          <w:rFonts w:ascii="仿宋_GB2312" w:hAnsi="仿宋_GB2312" w:eastAsia="仿宋" w:cs="Times New Roman"/>
          <w:b w:val="0"/>
          <w:sz w:val="32"/>
        </w:rPr>
      </w:pPr>
      <w:r>
        <w:rPr>
          <w:rFonts w:hint="eastAsia" w:cs="Times New Roman"/>
          <w:sz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lang w:eastAsia="zh-CN"/>
        </w:rPr>
        <w:t xml:space="preserve"> </w:t>
      </w:r>
      <w:r>
        <w:rPr>
          <w:rFonts w:ascii="仿宋_GB2312" w:hAnsi="仿宋_GB2312" w:eastAsia="仿宋" w:cs="Times New Roman"/>
          <w:sz w:val="32"/>
        </w:rPr>
        <w:t>突发物资堆积、容器破损、现场污染等问题，需30分钟内到场处置，消除隐患。</w:t>
      </w:r>
    </w:p>
    <w:p w14:paraId="04AB5A44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bookmarkStart w:id="10" w:name="heading_20"/>
      <w:r>
        <w:rPr>
          <w:rFonts w:hint="eastAsia"/>
          <w:lang w:eastAsia="zh-CN"/>
        </w:rPr>
        <w:t>八、</w:t>
      </w:r>
      <w:r>
        <w:t>考核与违约管理</w:t>
      </w:r>
      <w:bookmarkEnd w:id="10"/>
    </w:p>
    <w:p w14:paraId="63F1992D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bookmarkStart w:id="11" w:name="heading_21"/>
      <w:r>
        <w:rPr>
          <w:rFonts w:hint="eastAsia"/>
          <w:lang w:eastAsia="zh-CN"/>
        </w:rPr>
        <w:t>（一）</w:t>
      </w:r>
      <w:r>
        <w:t>日常考核</w:t>
      </w:r>
      <w:bookmarkEnd w:id="11"/>
    </w:p>
    <w:p w14:paraId="4A43C0DB">
      <w:pPr>
        <w:pStyle w:val="11"/>
        <w:rPr>
          <w:rFonts w:ascii="仿宋_GB2312" w:hAnsi="仿宋_GB2312" w:eastAsia="仿宋" w:cs="Times New Roman"/>
          <w:sz w:val="32"/>
        </w:rPr>
      </w:pPr>
      <w:r>
        <w:rPr>
          <w:rFonts w:ascii="仿宋_GB2312" w:hAnsi="仿宋_GB2312" w:eastAsia="仿宋" w:cs="Times New Roman"/>
          <w:sz w:val="32"/>
        </w:rPr>
        <w:t>医院后勤管理部门牵头，月度考核低于80分视为不合格，连续2个月考核不合格直接终止合同。核心考核指标包含作业规范性、清运及时性、院感防控、台账完整性、现场环境卫生、应急处置效率六大模块。</w:t>
      </w:r>
    </w:p>
    <w:p w14:paraId="0257EE2D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bookmarkStart w:id="12" w:name="heading_22"/>
      <w:r>
        <w:rPr>
          <w:rFonts w:hint="eastAsia"/>
          <w:lang w:eastAsia="zh-CN"/>
        </w:rPr>
        <w:t>（二）</w:t>
      </w:r>
      <w:r>
        <w:t>违约条款</w:t>
      </w:r>
      <w:bookmarkEnd w:id="12"/>
    </w:p>
    <w:p w14:paraId="1035D44B">
      <w:pPr>
        <w:pStyle w:val="11"/>
        <w:numPr>
          <w:ilvl w:val="0"/>
          <w:numId w:val="0"/>
        </w:numPr>
        <w:ind w:left="0" w:leftChars="0" w:firstLine="616"/>
        <w:rPr>
          <w:rFonts w:ascii="仿宋_GB2312" w:hAnsi="仿宋_GB2312" w:eastAsia="仿宋" w:cs="Times New Roman"/>
          <w:b w:val="0"/>
          <w:sz w:val="32"/>
        </w:rPr>
      </w:pPr>
      <w:r>
        <w:rPr>
          <w:rStyle w:val="17"/>
          <w:rFonts w:hint="eastAsia" w:eastAsia="仿宋_GB231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</w:rPr>
        <w:t>一般违约（单次扣除履约保证金500－2000元，限期整改）</w:t>
      </w:r>
      <w:r>
        <w:rPr>
          <w:rFonts w:ascii="仿宋_GB2312" w:hAnsi="仿宋_GB2312" w:eastAsia="仿宋" w:cs="Times New Roman"/>
          <w:sz w:val="32"/>
        </w:rPr>
        <w:t>：回收物分类不细致、轻微混杂少量杂物；容器摆放杂乱、现场清洁消杀不到位；台账记录不完整、数据有误；未按时报备人员更换；常规清运轻微延迟，无物资堆积、无不良影响的。整改后未及时落实的，加倍处罚。</w:t>
      </w:r>
    </w:p>
    <w:p w14:paraId="4820ED80">
      <w:pPr>
        <w:pStyle w:val="11"/>
        <w:numPr>
          <w:ilvl w:val="0"/>
          <w:numId w:val="0"/>
        </w:numPr>
        <w:ind w:left="0" w:leftChars="0" w:firstLine="616"/>
        <w:rPr>
          <w:rFonts w:ascii="仿宋_GB2312" w:hAnsi="仿宋_GB2312" w:eastAsia="仿宋" w:cs="Times New Roman"/>
          <w:b w:val="0"/>
          <w:sz w:val="32"/>
        </w:rPr>
      </w:pPr>
      <w:r>
        <w:rPr>
          <w:rStyle w:val="17"/>
          <w:rFonts w:hint="eastAsia" w:eastAsia="仿宋_GB231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</w:rPr>
        <w:t>较重违约（单次扣除履约保证金2000－5000元，全院通报）</w:t>
      </w:r>
      <w:r>
        <w:rPr>
          <w:rFonts w:ascii="仿宋_GB2312" w:hAnsi="仿宋_GB2312" w:eastAsia="仿宋" w:cs="Times New Roman"/>
          <w:sz w:val="32"/>
        </w:rPr>
        <w:t>：未按规定频次清运，造成物资积压、产生异味、滋生蚊虫；作业现场脏乱差，影响院区环境；未避开诊疗高峰作业，干扰患者就医；台账逾期未提交、虚假填报；应急处置超时，未及时消除隐患的。单次考核得分70－79分，判定为较重违约。</w:t>
      </w:r>
    </w:p>
    <w:p w14:paraId="3750F26D">
      <w:pPr>
        <w:pStyle w:val="11"/>
        <w:numPr>
          <w:ilvl w:val="0"/>
          <w:numId w:val="0"/>
        </w:numPr>
        <w:ind w:left="0" w:leftChars="0" w:firstLine="616"/>
        <w:rPr>
          <w:rFonts w:ascii="仿宋_GB2312" w:hAnsi="仿宋_GB2312" w:eastAsia="仿宋" w:cs="Times New Roman"/>
          <w:b w:val="0"/>
          <w:sz w:val="32"/>
        </w:rPr>
      </w:pPr>
      <w:r>
        <w:rPr>
          <w:rStyle w:val="17"/>
          <w:rFonts w:hint="eastAsia" w:eastAsia="仿宋_GB231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7"/>
        </w:rPr>
        <w:t>严重违约（无条件终止合同、没收全额履约保证金、列入黑名单）</w:t>
      </w:r>
      <w:r>
        <w:rPr>
          <w:rFonts w:ascii="仿宋_GB2312" w:hAnsi="仿宋_GB2312" w:eastAsia="仿宋" w:cs="Times New Roman"/>
          <w:sz w:val="32"/>
        </w:rPr>
        <w:t>：出现回收物与医疗废物、危废、生活垃圾混装混运；私自倒卖、外流转卖回收物资；违规倾倒、处置物资，造成环境污染；被卫健、生态环境部门督查通报、行政处罚；作业人员违规操作引发院感隐患、安全事故；连续2个月考核不合格、拒不整改或整改无效的。</w:t>
      </w:r>
    </w:p>
    <w:p w14:paraId="2AED8855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eastAsia" w:ascii="仿宋" w:hAnsi="仿宋" w:eastAsia="仿宋" w:cs="仿宋"/>
          <w:b w:val="0"/>
        </w:rPr>
      </w:pPr>
      <w:bookmarkStart w:id="13" w:name="heading_23"/>
      <w:r>
        <w:rPr>
          <w:rFonts w:hint="eastAsia" w:ascii="仿宋" w:hAnsi="仿宋" w:eastAsia="仿宋" w:cs="仿宋"/>
          <w:lang w:eastAsia="zh-CN"/>
        </w:rPr>
        <w:t>九、</w:t>
      </w:r>
      <w:r>
        <w:rPr>
          <w:rFonts w:hint="eastAsia" w:ascii="仿宋" w:hAnsi="仿宋" w:eastAsia="仿宋" w:cs="仿宋"/>
        </w:rPr>
        <w:t>其他要求</w:t>
      </w:r>
      <w:bookmarkEnd w:id="13"/>
    </w:p>
    <w:p w14:paraId="096F403C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（一）</w:t>
      </w:r>
      <w:r>
        <w:rPr>
          <w:rStyle w:val="18"/>
          <w:rFonts w:hint="eastAsia" w:ascii="仿宋" w:hAnsi="仿宋" w:eastAsia="仿宋" w:cs="仿宋"/>
        </w:rPr>
        <w:t>供应商需严格遵守医院消防安全、治安管理、院感防控各项规定，承担作业过程中产生的一切安全责任、环保责任及经济损失</w:t>
      </w:r>
      <w:r>
        <w:rPr>
          <w:rFonts w:hint="eastAsia" w:ascii="仿宋" w:hAnsi="仿宋" w:eastAsia="仿宋" w:cs="仿宋"/>
          <w:sz w:val="32"/>
        </w:rPr>
        <w:t>。</w:t>
      </w:r>
    </w:p>
    <w:p w14:paraId="1811A97B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（二）</w:t>
      </w:r>
      <w:r>
        <w:rPr>
          <w:rStyle w:val="18"/>
          <w:rFonts w:hint="eastAsia" w:ascii="仿宋" w:hAnsi="仿宋" w:eastAsia="仿宋" w:cs="仿宋"/>
        </w:rPr>
        <w:t>项目履约期间，所有作业耗材、设备、人员保险、运输风险均由供应商全权承担</w:t>
      </w:r>
      <w:r>
        <w:rPr>
          <w:rFonts w:hint="eastAsia" w:ascii="仿宋" w:hAnsi="仿宋" w:eastAsia="仿宋" w:cs="仿宋"/>
          <w:sz w:val="32"/>
        </w:rPr>
        <w:t>。</w:t>
      </w:r>
    </w:p>
    <w:p w14:paraId="68DDB4B6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（三）</w:t>
      </w:r>
      <w:r>
        <w:rPr>
          <w:rStyle w:val="18"/>
          <w:rFonts w:hint="eastAsia" w:ascii="仿宋" w:hAnsi="仿宋" w:eastAsia="仿宋" w:cs="仿宋"/>
        </w:rPr>
        <w:t>合同期满后，供应商需无条件配合交接，清空场地、移交台账、恢复现场整洁，不得影响医院正常工作</w:t>
      </w:r>
      <w:r>
        <w:rPr>
          <w:rFonts w:hint="eastAsia" w:ascii="仿宋" w:hAnsi="仿宋" w:eastAsia="仿宋" w:cs="仿宋"/>
          <w:sz w:val="32"/>
        </w:rPr>
        <w:t>。</w:t>
      </w:r>
    </w:p>
    <w:p w14:paraId="043DEE2C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（四）</w:t>
      </w:r>
      <w:r>
        <w:rPr>
          <w:rStyle w:val="18"/>
          <w:rFonts w:hint="eastAsia" w:ascii="仿宋" w:hAnsi="仿宋" w:eastAsia="仿宋" w:cs="仿宋"/>
        </w:rPr>
        <w:t>本项目所有作业标准、管理要求需同步符合国家、省、市最新医用可回收物</w:t>
      </w:r>
      <w:bookmarkStart w:id="14" w:name="_GoBack"/>
      <w:bookmarkEnd w:id="14"/>
      <w:r>
        <w:rPr>
          <w:rStyle w:val="18"/>
          <w:rFonts w:hint="eastAsia" w:ascii="仿宋" w:hAnsi="仿宋" w:eastAsia="仿宋" w:cs="仿宋"/>
        </w:rPr>
        <w:t>及固体废物管理新规，政策更新后供应商需无条件自动适配执行，不得以此为由调价、推诿或降低服务标准</w:t>
      </w:r>
      <w:r>
        <w:rPr>
          <w:rFonts w:hint="eastAsia" w:ascii="仿宋" w:hAnsi="仿宋" w:eastAsia="仿宋" w:cs="仿宋"/>
          <w:sz w:val="32"/>
        </w:rPr>
        <w:t>。</w:t>
      </w:r>
    </w:p>
    <w:p w14:paraId="76990065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（五）</w:t>
      </w:r>
      <w:r>
        <w:rPr>
          <w:rStyle w:val="18"/>
          <w:rFonts w:hint="eastAsia" w:ascii="仿宋" w:hAnsi="仿宋" w:eastAsia="仿宋" w:cs="仿宋"/>
        </w:rPr>
        <w:t>保密与合规责任</w:t>
      </w:r>
      <w:r>
        <w:rPr>
          <w:rFonts w:hint="eastAsia" w:ascii="仿宋" w:hAnsi="仿宋" w:eastAsia="仿宋" w:cs="仿宋"/>
          <w:sz w:val="32"/>
        </w:rPr>
        <w:t>：供应商需对医院科室布局、诊疗运营、物资产量等内部信息严格保密，严禁外泄；所有作业人员需签订保密及安全责任书，全程遵守医院各项管理制度。</w:t>
      </w:r>
    </w:p>
    <w:p w14:paraId="34871614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" w:hAnsi="仿宋" w:eastAsia="仿宋" w:cs="仿宋"/>
          <w:b w:val="0"/>
          <w:sz w:val="32"/>
        </w:rPr>
      </w:pPr>
      <w:r>
        <w:rPr>
          <w:rStyle w:val="18"/>
          <w:rFonts w:hint="eastAsia" w:ascii="仿宋" w:hAnsi="仿宋" w:eastAsia="仿宋" w:cs="仿宋"/>
          <w:lang w:eastAsia="zh-CN"/>
        </w:rPr>
        <w:t>（六）</w:t>
      </w:r>
      <w:r>
        <w:rPr>
          <w:rStyle w:val="18"/>
          <w:rFonts w:hint="eastAsia" w:ascii="仿宋" w:hAnsi="仿宋" w:eastAsia="仿宋" w:cs="仿宋"/>
        </w:rPr>
        <w:t>争议处理</w:t>
      </w:r>
      <w:r>
        <w:rPr>
          <w:rFonts w:hint="eastAsia" w:ascii="仿宋" w:hAnsi="仿宋" w:eastAsia="仿宋" w:cs="仿宋"/>
          <w:sz w:val="32"/>
        </w:rPr>
        <w:t>：项目履约过程中产生的争议、纠纷，双方优先协商解决；协商无果的，提交医院所在地司法部门依法处理。</w:t>
      </w:r>
    </w:p>
    <w:p w14:paraId="276984CF">
      <w:pPr>
        <w:pStyle w:val="11"/>
        <w:bidi w:val="0"/>
      </w:pPr>
    </w:p>
    <w:sectPr>
      <w:headerReference r:id="rId3" w:type="default"/>
      <w:footerReference r:id="rId4" w:type="default"/>
      <w:pgSz w:w="11905" w:h="16840"/>
      <w:pgMar w:top="1962" w:right="1474" w:bottom="1848" w:left="1587" w:header="851" w:footer="1049" w:gutter="0"/>
      <w:pgNumType w:fmt="decimal"/>
      <w:cols w:space="720" w:num="1"/>
      <w:docGrid w:type="linesAndChars" w:linePitch="592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3A5E900-D7D9-49B5-B099-9FFF21E80C44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145154EC-C4CC-409B-8CE8-CE5CDF4DBE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343CC74-D1A1-4A78-9B9E-202617C29D2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00000000000000000"/>
    <w:charset w:val="86"/>
    <w:family w:val="auto"/>
    <w:pitch w:val="default"/>
    <w:sig w:usb0="0000000F" w:usb1="28810000" w:usb2="00000000" w:usb3="00000000" w:csb0="00140001" w:csb1="00000000"/>
    <w:embedRegular r:id="rId4" w:fontKey="{80A8556B-3D02-4EFB-9476-7988613F6058}"/>
  </w:font>
  <w:font w:name="WPSEMBED1">
    <w:panose1 w:val="02000000000000000000"/>
    <w:charset w:val="86"/>
    <w:family w:val="auto"/>
    <w:pitch w:val="default"/>
    <w:sig w:usb0="0000000F" w:usb1="28810000" w:usb2="00000000" w:usb3="00000000" w:csb0="001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30A59">
    <w:pPr>
      <w:spacing w:line="471" w:lineRule="auto"/>
      <w:rPr>
        <w:rFonts w:hint="eastAsia" w:ascii="仿宋_GB2312" w:hAnsi="仿宋_GB2312" w:eastAsia="仿宋_GB2312" w:cs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71755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5701834">
                          <w:pPr>
                            <w:pStyle w:val="12"/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5.6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R90XDWAAAA&#10;BwEAAA8AAAAAAAAAAQAgAAAAIgAAAGRycy9kb3ducmV2LnhtbFBLAQIUABQAAAAIAIdO4kC9umys&#10;5gEAAMgDAAAOAAAAAAAAAAEAIAAAACUBAABkcnMvZTJvRG9jLnhtbFBLBQYAAAAABgAGAFkBAAB9&#10;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5701834">
                    <w:pPr>
                      <w:pStyle w:val="12"/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95167">
    <w:pPr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4551A7"/>
    <w:multiLevelType w:val="singleLevel"/>
    <w:tmpl w:val="A04551A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D7BD165"/>
    <w:multiLevelType w:val="singleLevel"/>
    <w:tmpl w:val="4D7BD16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EAC0250"/>
    <w:multiLevelType w:val="singleLevel"/>
    <w:tmpl w:val="4EAC025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rawingGridHorizontalSpacing w:val="158"/>
  <w:drawingGridVerticalSpacing w:val="296"/>
  <w:displayHorizontalDrawingGridEvery w:val="2"/>
  <w:displayVerticalDrawingGridEvery w:val="2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71576"/>
    <w:rsid w:val="0A3F3469"/>
    <w:rsid w:val="15C35EA9"/>
    <w:rsid w:val="1618304E"/>
    <w:rsid w:val="1E4623BE"/>
    <w:rsid w:val="1F7C5C8D"/>
    <w:rsid w:val="25145328"/>
    <w:rsid w:val="273A4EBC"/>
    <w:rsid w:val="28F16486"/>
    <w:rsid w:val="29427A44"/>
    <w:rsid w:val="2AEF232A"/>
    <w:rsid w:val="3EA11583"/>
    <w:rsid w:val="6A19220F"/>
    <w:rsid w:val="72BB01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Times New Roman"/>
      <w:kern w:val="44"/>
      <w:sz w:val="32"/>
      <w:szCs w:val="32"/>
    </w:rPr>
  </w:style>
  <w:style w:type="paragraph" w:styleId="3">
    <w:name w:val="heading 2"/>
    <w:next w:val="1"/>
    <w:link w:val="1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Times New Roman"/>
      <w:sz w:val="32"/>
      <w:szCs w:val="32"/>
    </w:rPr>
  </w:style>
  <w:style w:type="paragraph" w:styleId="4">
    <w:name w:val="heading 3"/>
    <w:next w:val="1"/>
    <w:link w:val="1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Times New Roman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Times New Roman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Times New Roman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Times New Roman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Times New Roman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Times New Roman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Times New Roman"/>
      <w:sz w:val="32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link w:val="19"/>
    <w:qFormat/>
    <w:uiPriority w:val="0"/>
    <w:pPr>
      <w:spacing w:line="560" w:lineRule="exact"/>
      <w:ind w:firstLine="628" w:firstLineChars="200"/>
    </w:pPr>
    <w:rPr>
      <w:rFonts w:ascii="仿宋_GB2312" w:hAnsi="仿宋_GB2312" w:eastAsia="仿宋" w:cs="Times New Roman"/>
      <w:spacing w:val="-6"/>
      <w:sz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Subtitle"/>
    <w:qFormat/>
    <w:uiPriority w:val="0"/>
    <w:pPr>
      <w:spacing w:beforeLines="0" w:beforeAutospacing="0" w:afterLines="0" w:afterAutospacing="0" w:line="560" w:lineRule="exact"/>
      <w:jc w:val="center"/>
      <w:outlineLvl w:val="1"/>
    </w:pPr>
    <w:rPr>
      <w:rFonts w:ascii="楷体_GB2312" w:hAnsi="楷体_GB2312" w:eastAsia="楷体_GB2312" w:cs="Times New Roman"/>
      <w:kern w:val="28"/>
      <w:sz w:val="32"/>
      <w:szCs w:val="32"/>
    </w:rPr>
  </w:style>
  <w:style w:type="paragraph" w:styleId="14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character" w:customStyle="1" w:styleId="17">
    <w:name w:val="标题 3 Char"/>
    <w:link w:val="4"/>
    <w:qFormat/>
    <w:uiPriority w:val="0"/>
    <w:rPr>
      <w:rFonts w:ascii="仿宋_GB2312" w:hAnsi="仿宋_GB2312" w:eastAsia="仿宋_GB2312" w:cs="Times New Roman"/>
      <w:sz w:val="32"/>
      <w:szCs w:val="32"/>
    </w:rPr>
  </w:style>
  <w:style w:type="character" w:customStyle="1" w:styleId="18">
    <w:name w:val="标题 2 Char"/>
    <w:link w:val="3"/>
    <w:qFormat/>
    <w:uiPriority w:val="0"/>
    <w:rPr>
      <w:rFonts w:ascii="楷体_GB2312" w:hAnsi="楷体_GB2312" w:eastAsia="楷体_GB2312" w:cs="Times New Roman"/>
      <w:sz w:val="32"/>
      <w:szCs w:val="32"/>
    </w:rPr>
  </w:style>
  <w:style w:type="character" w:customStyle="1" w:styleId="19">
    <w:name w:val="正文文本 Char"/>
    <w:link w:val="11"/>
    <w:qFormat/>
    <w:uiPriority w:val="0"/>
    <w:rPr>
      <w:rFonts w:ascii="仿宋_GB2312" w:hAnsi="仿宋_GB2312" w:eastAsia="仿宋" w:cs="Times New Roman"/>
      <w:spacing w:val="-6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3521</Words>
  <Characters>3578</Characters>
  <TotalTime>12</TotalTime>
  <ScaleCrop>false</ScaleCrop>
  <LinksUpToDate>false</LinksUpToDate>
  <CharactersWithSpaces>3605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2026-08-05T07:26:00Z</dcterms:created>
  <dc:creator>Apache POI</dc:creator>
  <cp:lastModifiedBy>那个谁</cp:lastModifiedBy>
  <dcterms:modified xsi:type="dcterms:W3CDTF">2026-08-11T03:32:41Z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{"Label":"1","ContentProducer":"001191110102MACQD9K64010000","ProduceID":"7670445478546459878","ReservedCode1":"","ContentPropagator":"","PropagateID":"","ReservedCode2":""}</vt:lpwstr>
  </property>
  <property fmtid="{D5CDD505-2E9C-101B-9397-08002B2CF9AE}" pid="3" name="KSOTemplateDocerSaveRecord">
    <vt:lpwstr>eyJoZGlkIjoiYTIxNGRhYjA2NmZmMTdjMjBmMzFkMzBmYjU5ZDlhNWMiLCJ1c2VySWQiOiIyNzcxMjQ2ODMifQ==</vt:lpwstr>
  </property>
  <property fmtid="{D5CDD505-2E9C-101B-9397-08002B2CF9AE}" pid="4" name="KSOProductBuildVer">
    <vt:lpwstr>2052-12.1.0.28043</vt:lpwstr>
  </property>
  <property fmtid="{D5CDD505-2E9C-101B-9397-08002B2CF9AE}" pid="5" name="ICV">
    <vt:lpwstr>18B04E1C26EF4A009861C8B77565A5DC_13</vt:lpwstr>
  </property>
</Properties>
</file>