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9C480">
      <w:pPr>
        <w:spacing w:after="360" w:line="360" w:lineRule="auto"/>
        <w:jc w:val="center"/>
        <w:rPr>
          <w:sz w:val="30"/>
          <w:szCs w:val="30"/>
        </w:rPr>
      </w:pPr>
      <w:r>
        <w:rPr>
          <w:rFonts w:ascii="Arial" w:hAnsi="Arial" w:eastAsia="黑体"/>
          <w:b/>
          <w:color w:val="000000"/>
          <w:sz w:val="30"/>
          <w:szCs w:val="30"/>
        </w:rPr>
        <w:t>江苏省苏北人民医院</w:t>
      </w:r>
      <w:r>
        <w:rPr>
          <w:rFonts w:hint="eastAsia" w:ascii="Arial" w:hAnsi="Arial" w:eastAsia="黑体"/>
          <w:b/>
          <w:color w:val="000000"/>
          <w:sz w:val="30"/>
          <w:szCs w:val="30"/>
          <w:lang w:eastAsia="zh-CN"/>
        </w:rPr>
        <w:t>2026年职工游园卡项目</w:t>
      </w:r>
      <w:bookmarkStart w:id="0" w:name="_GoBack"/>
      <w:bookmarkEnd w:id="0"/>
      <w:r>
        <w:rPr>
          <w:rFonts w:hint="eastAsia" w:ascii="Arial" w:hAnsi="Arial" w:eastAsia="黑体"/>
          <w:b/>
          <w:color w:val="000000"/>
          <w:sz w:val="30"/>
          <w:szCs w:val="30"/>
          <w:lang w:eastAsia="zh-CN"/>
        </w:rPr>
        <w:t>需求</w:t>
      </w:r>
    </w:p>
    <w:p w14:paraId="0B8DBB2F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一、项目名称</w:t>
      </w:r>
    </w:p>
    <w:p w14:paraId="711BC7E1">
      <w:pPr>
        <w:spacing w:before="0" w:after="0" w:line="360" w:lineRule="auto"/>
        <w:ind w:firstLine="480"/>
        <w:jc w:val="both"/>
        <w:rPr>
          <w:rFonts w:hint="eastAsia" w:eastAsia="宋体"/>
          <w:lang w:eastAsia="zh-CN"/>
        </w:rPr>
      </w:pPr>
      <w:r>
        <w:rPr>
          <w:rFonts w:hint="eastAsia" w:ascii="Arial" w:hAnsi="Arial" w:eastAsia="宋体"/>
          <w:b w:val="0"/>
          <w:color w:val="000000"/>
          <w:sz w:val="24"/>
        </w:rPr>
        <w:t>江苏省苏北人民医院2026年职工游园卡项目</w:t>
      </w:r>
      <w:r>
        <w:rPr>
          <w:rFonts w:hint="eastAsia" w:ascii="Arial" w:hAnsi="Arial" w:eastAsia="宋体"/>
          <w:b w:val="0"/>
          <w:color w:val="000000"/>
          <w:sz w:val="24"/>
          <w:lang w:eastAsia="zh-CN"/>
        </w:rPr>
        <w:t>。</w:t>
      </w:r>
    </w:p>
    <w:p w14:paraId="20ECF09D">
      <w:pPr>
        <w:keepNext/>
        <w:spacing w:before="280" w:after="120" w:line="360" w:lineRule="auto"/>
        <w:jc w:val="both"/>
        <w:rPr>
          <w:rFonts w:hint="eastAsia" w:eastAsia="黑体"/>
          <w:lang w:eastAsia="zh-CN"/>
        </w:rPr>
      </w:pPr>
      <w:r>
        <w:rPr>
          <w:rFonts w:ascii="Arial" w:hAnsi="Arial" w:eastAsia="黑体"/>
          <w:b/>
          <w:color w:val="000000"/>
          <w:sz w:val="32"/>
        </w:rPr>
        <w:t>二、采购人</w:t>
      </w:r>
    </w:p>
    <w:p w14:paraId="034D638D">
      <w:pPr>
        <w:spacing w:before="0" w:after="0" w:line="360" w:lineRule="auto"/>
        <w:ind w:firstLine="480"/>
        <w:jc w:val="both"/>
        <w:rPr>
          <w:rFonts w:hint="eastAsia" w:eastAsia="宋体"/>
          <w:lang w:eastAsia="zh-CN"/>
        </w:rPr>
      </w:pPr>
      <w:r>
        <w:rPr>
          <w:rFonts w:ascii="Arial" w:hAnsi="Arial" w:eastAsia="宋体"/>
          <w:b w:val="0"/>
          <w:color w:val="000000"/>
          <w:sz w:val="24"/>
        </w:rPr>
        <w:t>江苏省苏北人民医院</w:t>
      </w:r>
      <w:r>
        <w:rPr>
          <w:rFonts w:hint="eastAsia" w:ascii="Arial" w:hAnsi="Arial" w:eastAsia="宋体"/>
          <w:b w:val="0"/>
          <w:color w:val="000000"/>
          <w:sz w:val="24"/>
          <w:lang w:eastAsia="zh-CN"/>
        </w:rPr>
        <w:t>。</w:t>
      </w:r>
    </w:p>
    <w:p w14:paraId="53664C73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三、项目背景与目的</w:t>
      </w:r>
    </w:p>
    <w:p w14:paraId="15054476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为保障职工文体福利，丰富职工业余文化生活，落实工会关爱职工、普惠服务的宗旨，提升职工幸福感与归属感，拟通过采购方式为工会会员采购一批“长三角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三省一市范围内</w:t>
      </w:r>
      <w:r>
        <w:rPr>
          <w:rFonts w:ascii="Arial" w:hAnsi="Arial" w:eastAsia="宋体"/>
          <w:b w:val="0"/>
          <w:color w:val="000000"/>
          <w:sz w:val="24"/>
        </w:rPr>
        <w:t>旅游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景区</w:t>
      </w:r>
      <w:r>
        <w:rPr>
          <w:rFonts w:ascii="Arial" w:hAnsi="Arial" w:eastAsia="宋体"/>
          <w:b w:val="0"/>
          <w:color w:val="000000"/>
          <w:sz w:val="24"/>
        </w:rPr>
        <w:t>年票”。该年票需覆盖长三角区域（上海市、江苏省、浙江省、安徽省）内优质旅游景区及文化场馆，实现“一票畅游”，为职工及家属提供便捷、实惠的文旅休闲福利。</w:t>
      </w:r>
    </w:p>
    <w:p w14:paraId="4F179E54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四、项目概况</w:t>
      </w:r>
    </w:p>
    <w:p w14:paraId="040FCC21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（一）采购内容</w:t>
      </w:r>
    </w:p>
    <w:p w14:paraId="6499D03B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采购符合本公告技术要求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的旅游景区年票</w:t>
      </w:r>
      <w:r>
        <w:rPr>
          <w:rFonts w:ascii="Arial" w:hAnsi="Arial" w:eastAsia="宋体"/>
          <w:b w:val="0"/>
          <w:color w:val="000000"/>
          <w:sz w:val="24"/>
        </w:rPr>
        <w:t>产品，供本单位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职工</w:t>
      </w:r>
      <w:r>
        <w:rPr>
          <w:rFonts w:ascii="Arial" w:hAnsi="Arial" w:eastAsia="宋体"/>
          <w:b w:val="0"/>
          <w:color w:val="000000"/>
          <w:sz w:val="24"/>
        </w:rPr>
        <w:t>使用</w:t>
      </w:r>
      <w:r>
        <w:rPr>
          <w:rFonts w:hint="eastAsia" w:ascii="Arial" w:hAnsi="Arial" w:eastAsia="宋体"/>
          <w:b w:val="0"/>
          <w:color w:val="000000"/>
          <w:sz w:val="24"/>
          <w:lang w:eastAsia="zh-CN"/>
        </w:rPr>
        <w:t>。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预估采购数量3357张</w:t>
      </w:r>
      <w:r>
        <w:rPr>
          <w:rFonts w:ascii="Arial" w:hAnsi="Arial" w:eastAsia="宋体"/>
          <w:b w:val="0"/>
          <w:color w:val="000000"/>
          <w:sz w:val="24"/>
        </w:rPr>
        <w:t>。年票须覆盖长三角区域（上海市、江苏省、浙江省、安徽省）旅游景区及文化场馆，具备景区预约、入园核验等功能。</w:t>
      </w:r>
    </w:p>
    <w:p w14:paraId="113646CE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（二）资金来源</w:t>
      </w:r>
    </w:p>
    <w:p w14:paraId="6EA5B974">
      <w:pPr>
        <w:spacing w:before="0" w:after="0" w:line="360" w:lineRule="auto"/>
        <w:ind w:firstLine="480" w:firstLineChars="200"/>
        <w:jc w:val="both"/>
      </w:pPr>
      <w:r>
        <w:rPr>
          <w:rFonts w:ascii="Arial" w:hAnsi="Arial" w:eastAsia="宋体"/>
          <w:b w:val="0"/>
          <w:color w:val="000000"/>
          <w:sz w:val="24"/>
        </w:rPr>
        <w:t>工会经费。</w:t>
      </w:r>
    </w:p>
    <w:p w14:paraId="744A0588">
      <w:pPr>
        <w:spacing w:before="0" w:after="0" w:line="360" w:lineRule="auto"/>
        <w:ind w:firstLine="480"/>
        <w:jc w:val="both"/>
      </w:pPr>
    </w:p>
    <w:p w14:paraId="7900702C">
      <w:pPr>
        <w:keepNext/>
        <w:numPr>
          <w:ilvl w:val="0"/>
          <w:numId w:val="7"/>
        </w:numPr>
        <w:spacing w:before="180" w:after="80" w:line="360" w:lineRule="auto"/>
        <w:jc w:val="both"/>
        <w:rPr>
          <w:rFonts w:ascii="Arial" w:hAnsi="Arial" w:eastAsia="黑体"/>
          <w:b/>
          <w:color w:val="000000"/>
          <w:sz w:val="24"/>
        </w:rPr>
      </w:pPr>
      <w:r>
        <w:rPr>
          <w:rFonts w:ascii="Arial" w:hAnsi="Arial" w:eastAsia="黑体"/>
          <w:b/>
          <w:color w:val="000000"/>
          <w:sz w:val="24"/>
        </w:rPr>
        <w:t>预算金额</w:t>
      </w:r>
    </w:p>
    <w:p w14:paraId="7C32CF85">
      <w:pPr>
        <w:keepNext/>
        <w:numPr>
          <w:ilvl w:val="0"/>
          <w:numId w:val="0"/>
        </w:numPr>
        <w:spacing w:before="180" w:after="80" w:line="360" w:lineRule="auto"/>
        <w:jc w:val="both"/>
        <w:rPr>
          <w:rFonts w:hint="default" w:ascii="Arial" w:hAnsi="Arial" w:eastAsia="宋体"/>
          <w:b w:val="0"/>
          <w:color w:val="000000"/>
          <w:sz w:val="24"/>
          <w:lang w:val="en-US" w:eastAsia="zh-CN"/>
        </w:rPr>
      </w:pPr>
      <w:r>
        <w:rPr>
          <w:rFonts w:hint="eastAsia" w:ascii="Arial" w:hAnsi="Arial" w:eastAsia="黑体"/>
          <w:b/>
          <w:color w:val="000000"/>
          <w:sz w:val="24"/>
          <w:lang w:val="en-US" w:eastAsia="zh-CN"/>
        </w:rPr>
        <w:t xml:space="preserve">     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 xml:space="preserve">  本项目预算金额为67.14万元（单价200元/人）。</w:t>
      </w:r>
    </w:p>
    <w:p w14:paraId="355B9442">
      <w:pPr>
        <w:keepNext/>
        <w:numPr>
          <w:ilvl w:val="0"/>
          <w:numId w:val="0"/>
        </w:numPr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（四）最高限价</w:t>
      </w:r>
    </w:p>
    <w:p w14:paraId="75CE6E62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本项目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按单价报价，最高限价为200元/人（含单张全部成本、税费、配套服务等），投标报价高于最高限价为无效报价。</w:t>
      </w:r>
    </w:p>
    <w:p w14:paraId="3B94CCA9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（五）结算方式</w:t>
      </w:r>
    </w:p>
    <w:p w14:paraId="4C0BF8BC">
      <w:pPr>
        <w:spacing w:before="0" w:after="0" w:line="360" w:lineRule="auto"/>
        <w:ind w:firstLine="480"/>
        <w:jc w:val="both"/>
      </w:pP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最终结算价=中标单价</w:t>
      </w:r>
      <w:r>
        <w:rPr>
          <w:rFonts w:hint="default" w:ascii="Arial" w:hAnsi="Arial" w:eastAsia="宋体" w:cs="Arial"/>
          <w:b w:val="0"/>
          <w:color w:val="000000"/>
          <w:sz w:val="24"/>
          <w:lang w:val="en-US" w:eastAsia="zh-CN"/>
        </w:rPr>
        <w:t>×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 xml:space="preserve">实际发放数量，据实结算，总额不超过预算金额。 </w:t>
      </w:r>
    </w:p>
    <w:p w14:paraId="53A95280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（六）付款方式</w:t>
      </w:r>
    </w:p>
    <w:p w14:paraId="12970C1A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供应商按照采购人要求以游园卡（旅游年票）形式足额发放后，支付合同价款的50%；余款在年票有效期满后付清。</w:t>
      </w:r>
    </w:p>
    <w:p w14:paraId="613B3E86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（七）年票有效期</w:t>
      </w:r>
    </w:p>
    <w:p w14:paraId="217A55E9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自激活开卡之日起12个月。</w:t>
      </w:r>
    </w:p>
    <w:p w14:paraId="50CC6E6A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五、产品技术要求（调研内容一）</w:t>
      </w:r>
    </w:p>
    <w:p w14:paraId="3547DE1E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（一）产品定义</w:t>
      </w:r>
    </w:p>
    <w:p w14:paraId="5E8016DE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“长三角旅游年票”是指在指定有效期（</w:t>
      </w:r>
      <w:r>
        <w:rPr>
          <w:rFonts w:hint="eastAsia" w:ascii="Arial" w:hAnsi="Arial" w:eastAsia="宋体"/>
          <w:b w:val="0"/>
          <w:color w:val="000000"/>
          <w:sz w:val="24"/>
        </w:rPr>
        <w:t>自激活开卡之日起12个月</w:t>
      </w:r>
      <w:r>
        <w:rPr>
          <w:rFonts w:ascii="Arial" w:hAnsi="Arial" w:eastAsia="宋体"/>
          <w:b w:val="0"/>
          <w:color w:val="000000"/>
          <w:sz w:val="24"/>
        </w:rPr>
        <w:t>）内，允许持票人（或绑定人）不限次或限定次数免费进入或享受优惠进入其所包含的、位于长三角区域内的合作景区（点）、文化场馆等文旅场所的电子或实体凭证。</w:t>
      </w:r>
    </w:p>
    <w:p w14:paraId="48D87973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（二）核心功能要求</w:t>
      </w:r>
    </w:p>
    <w:p w14:paraId="60F46044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1.覆盖范围：年票所包含的合作景区及文化场馆总数应不少于200家，其中江苏省内景区占比不低于40%；</w:t>
      </w:r>
      <w:r>
        <w:rPr>
          <w:rFonts w:ascii="Arial" w:hAnsi="Arial" w:eastAsia="宋体"/>
          <w:b/>
          <w:bCs/>
          <w:color w:val="000000"/>
          <w:sz w:val="24"/>
        </w:rPr>
        <w:t>可选</w:t>
      </w:r>
      <w:r>
        <w:rPr>
          <w:rFonts w:hint="eastAsia" w:ascii="Arial" w:hAnsi="Arial" w:eastAsia="宋体"/>
          <w:b/>
          <w:bCs/>
          <w:color w:val="000000"/>
          <w:sz w:val="24"/>
        </w:rPr>
        <w:t>长三角旅游年票</w:t>
      </w:r>
      <w:r>
        <w:rPr>
          <w:rFonts w:hint="eastAsia" w:ascii="Arial" w:hAnsi="Arial" w:eastAsia="宋体"/>
          <w:b/>
          <w:bCs/>
          <w:color w:val="000000"/>
          <w:sz w:val="24"/>
          <w:lang w:val="en-US" w:eastAsia="zh-CN"/>
        </w:rPr>
        <w:t>景点名录</w:t>
      </w:r>
      <w:r>
        <w:rPr>
          <w:rFonts w:ascii="Arial" w:hAnsi="Arial" w:eastAsia="宋体"/>
          <w:b/>
          <w:bCs/>
          <w:color w:val="000000"/>
          <w:sz w:val="24"/>
        </w:rPr>
        <w:t>须在调研</w:t>
      </w:r>
      <w:r>
        <w:rPr>
          <w:rFonts w:hint="eastAsia" w:ascii="Arial" w:hAnsi="Arial" w:eastAsia="宋体"/>
          <w:b/>
          <w:bCs/>
          <w:color w:val="000000"/>
          <w:sz w:val="24"/>
          <w:lang w:val="en-US" w:eastAsia="zh-CN"/>
        </w:rPr>
        <w:t>响应文件</w:t>
      </w:r>
      <w:r>
        <w:rPr>
          <w:rFonts w:ascii="Arial" w:hAnsi="Arial" w:eastAsia="宋体"/>
          <w:b/>
          <w:bCs/>
          <w:color w:val="000000"/>
          <w:sz w:val="24"/>
        </w:rPr>
        <w:t>中提供。</w:t>
      </w:r>
    </w:p>
    <w:p w14:paraId="4C79AACE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2.使用权限：年票激活后，在有效期内每张年票绑定的一名实名用户，根据产品所包含权益各兑换一次；所含景区需至少提前一天在线预约，免门票费用。</w:t>
      </w:r>
    </w:p>
    <w:p w14:paraId="0B66A62E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3.有效期：</w:t>
      </w:r>
      <w:r>
        <w:rPr>
          <w:rFonts w:hint="eastAsia" w:ascii="Arial" w:hAnsi="Arial" w:eastAsia="宋体"/>
          <w:b w:val="0"/>
          <w:color w:val="000000"/>
          <w:sz w:val="24"/>
        </w:rPr>
        <w:t>自激活开卡之日起12个月</w:t>
      </w:r>
      <w:r>
        <w:rPr>
          <w:rFonts w:ascii="Arial" w:hAnsi="Arial" w:eastAsia="宋体"/>
          <w:b w:val="0"/>
          <w:color w:val="000000"/>
          <w:sz w:val="24"/>
        </w:rPr>
        <w:t>。</w:t>
      </w:r>
    </w:p>
    <w:p w14:paraId="7F5F53B8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4.使用方式：</w:t>
      </w:r>
    </w:p>
    <w:p w14:paraId="0C33905B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（1）电子凭证：须提供微信小程序、APP或H5页面作为主要使用载体。用户购票/获得兑换码后，需在线完成实名认证（姓名、身份证号、手机号）并激活。</w:t>
      </w:r>
    </w:p>
    <w:p w14:paraId="65BE9FCE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（2）入园核验：支持动态二维码扫码入园，支持身份证、护照、港澳通行证等多种方式绑定，实现便捷核验。</w:t>
      </w:r>
    </w:p>
    <w:p w14:paraId="560B8399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（3）预约功能：对于需要预约的景区，年票系统须提供便捷的在线分时预约功能。</w:t>
      </w:r>
    </w:p>
    <w:p w14:paraId="0D66DB3F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5.附加服务：提供在线客服，解答使用疑问；提供景区详情、开放时间、免票条件、咨询电话等信息查询功能。</w:t>
      </w:r>
    </w:p>
    <w:p w14:paraId="411683DD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（三）数据安全与合规要求</w:t>
      </w:r>
    </w:p>
    <w:p w14:paraId="1C2F522F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供应商须严格遵守《中华人民共和国民法典》《中华人民共和国网络安全法》《中华人民共和国个人信息保护法》等相关法律法规，对收集的会员个人信息（身份证、手机号等）承担保密责任，不得泄露或用于本项目以外的任何用途。</w:t>
      </w:r>
    </w:p>
    <w:p w14:paraId="6787967A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2.系统须具备防止门票倒卖、冒用等风控机制。</w:t>
      </w:r>
    </w:p>
    <w:p w14:paraId="082F7F29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六、服务要求（调研内容二）</w:t>
      </w:r>
    </w:p>
    <w:p w14:paraId="0B48CA26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（一）售前服务</w:t>
      </w:r>
    </w:p>
    <w:p w14:paraId="7523BA10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1.提供详细、准确的产品说明书、合作景区名录及使用规则。</w:t>
      </w:r>
    </w:p>
    <w:p w14:paraId="0D3C2674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2.提供产品演示或试用体验（如有必要）。</w:t>
      </w:r>
    </w:p>
    <w:p w14:paraId="5C9DA745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（二）售中服务（采购与发放）</w:t>
      </w:r>
    </w:p>
    <w:p w14:paraId="4DF1BC4A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1.采购流程：供应商需提供便捷的团体采购对接方案。采购人支付后，供应商应在3个工作日内提供对应数量的年票实体卡或电子兑换码（或批量激活链接）。</w:t>
      </w:r>
    </w:p>
    <w:p w14:paraId="41D4AE41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2.发放方式：供应商需提供实体卡或兑换码批量分发至工会会员个人（如通过短信、内部系统接口）的技术方案，或提供便于工会自行分发的管理后台。</w:t>
      </w:r>
    </w:p>
    <w:p w14:paraId="028CDB97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3.发放时限：以游园卡形式发放，收到采购人通知后3个工作日内将游园卡全部发放到位；如采购人时间有变动，以采购人通知时间为准。</w:t>
      </w:r>
    </w:p>
    <w:p w14:paraId="67A03A5A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（三）售后服务</w:t>
      </w:r>
    </w:p>
    <w:p w14:paraId="7D0E14B1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1.有效期：提供自合同签订之日起不少于1年的产品售后服务。</w:t>
      </w:r>
    </w:p>
    <w:p w14:paraId="2A6C1DA3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2.客服支持：提供7×24小时在线客服（如智能客服+人工客服），解答用户在使用过程中遇到的问题；提供专属的项目对接人及联系电话。</w:t>
      </w:r>
    </w:p>
    <w:p w14:paraId="695CEADC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3.景区变更：合作景区名录如有增减，供应商应提前15个工作日书面通知采购人，并确保新增景区质量与原承诺标准相当；对于取消合作的景区，应提供合理的替代方案。</w:t>
      </w:r>
    </w:p>
    <w:p w14:paraId="5F0E60D7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4.投诉处理：建立快速投诉处理机制。接到采购人或用户投诉后，应在2小时内响应，24小时内给出解决方案。</w:t>
      </w:r>
    </w:p>
    <w:p w14:paraId="1F7E6F63">
      <w:pPr>
        <w:keepNext/>
        <w:spacing w:before="180" w:after="80" w:line="360" w:lineRule="auto"/>
        <w:jc w:val="both"/>
      </w:pPr>
      <w:r>
        <w:rPr>
          <w:rFonts w:ascii="Arial" w:hAnsi="Arial" w:eastAsia="黑体"/>
          <w:b/>
          <w:color w:val="000000"/>
          <w:sz w:val="24"/>
        </w:rPr>
        <w:t>（四）其他服务与合规要求</w:t>
      </w:r>
    </w:p>
    <w:p w14:paraId="57BA3A5E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1.年票产品不得兑换现金、购物卡、代金券，不得设置隐形消费、二次收费。</w:t>
      </w:r>
    </w:p>
    <w:p w14:paraId="690910E5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2.年票具备景区预约、入园核验功能；履约期间若合作景区调整或终止合作，供应商须做好后续配套服务保障。</w:t>
      </w:r>
    </w:p>
    <w:p w14:paraId="35782FD8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3.供应商须开具符合工会财务报销要求的正规发票。</w:t>
      </w:r>
    </w:p>
    <w:p w14:paraId="13432579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4.本项目不指定特定品牌产品，符合政策文件要求的产品均可参与调研。</w:t>
      </w:r>
    </w:p>
    <w:p w14:paraId="160D1A4C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5.供应商须按自身实际情况对本项目提供优惠政策或增值服务。</w:t>
      </w:r>
    </w:p>
    <w:p w14:paraId="158830C5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七、验收要求</w:t>
      </w:r>
    </w:p>
    <w:p w14:paraId="50854FDA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年票可正常激活使用，服务保障落实到位，票据合规，即为验收合格。</w:t>
      </w:r>
    </w:p>
    <w:p w14:paraId="09353685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八、供应商资格要求</w:t>
      </w:r>
    </w:p>
    <w:p w14:paraId="3E9AC91F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1.具有独立承担民事责任的能力，提供有效的营业执照。</w:t>
      </w:r>
    </w:p>
    <w:p w14:paraId="2A84D6FA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2.具有履行合同所必需的设备和专业技术能力。</w:t>
      </w:r>
    </w:p>
    <w:p w14:paraId="4DA29C55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3.参加采购活动前三年内，在经营活动中没有重大违法记录。</w:t>
      </w:r>
    </w:p>
    <w:p w14:paraId="0DB0C26E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九、供应商需提交的调研材料</w:t>
      </w:r>
    </w:p>
    <w:p w14:paraId="6DDF9449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参与调研的供应商应提交以下材料：</w:t>
      </w:r>
    </w:p>
    <w:p w14:paraId="2C159136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1.产品方案详细说明：包括产品名称、合作景区详细名录（列明景区名称、等级、所在城市）、使用流程、有效期等。</w:t>
      </w:r>
    </w:p>
    <w:p w14:paraId="6A11EB89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2.技术响应表：逐条响应本公告“产品技术要求”和“服务要求”部分内容，说明满足情况；如有偏离需明确说明。</w:t>
      </w:r>
    </w:p>
    <w:p w14:paraId="7CC695A2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3.售后服务方案：详述客服体系、响应机制、投诉处理流程、景区变更处理预案等。</w:t>
      </w:r>
    </w:p>
    <w:p w14:paraId="0AED57C0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4.产品样品或体验方式：提供可供体验的产品试用兑换码或演示账号，以便采购人直观了解产品。</w:t>
      </w:r>
    </w:p>
    <w:p w14:paraId="601019CB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5.承诺函（格式自拟并加盖公章）：包括但不限于年票产品不兑换现金、购物卡、代金券，不设置隐形消费、二次收费；履约期间景区调整或终止合作时提供后续配套服务保障；收到采购人通知后3个工作日内将游园卡全部发放到位；</w:t>
      </w:r>
      <w:r>
        <w:rPr>
          <w:rFonts w:hint="eastAsia" w:ascii="Arial" w:hAnsi="Arial" w:eastAsia="宋体"/>
          <w:b w:val="0"/>
          <w:color w:val="000000"/>
          <w:sz w:val="24"/>
        </w:rPr>
        <w:t>长三角旅游年票</w:t>
      </w:r>
      <w:r>
        <w:rPr>
          <w:rFonts w:hint="eastAsia" w:ascii="Arial" w:hAnsi="Arial" w:eastAsia="宋体"/>
          <w:b w:val="0"/>
          <w:color w:val="000000"/>
          <w:sz w:val="24"/>
          <w:lang w:val="en-US" w:eastAsia="zh-CN"/>
        </w:rPr>
        <w:t>景点名录</w:t>
      </w:r>
      <w:r>
        <w:rPr>
          <w:rFonts w:ascii="Arial" w:hAnsi="Arial" w:eastAsia="宋体"/>
          <w:b w:val="0"/>
          <w:color w:val="000000"/>
          <w:sz w:val="24"/>
        </w:rPr>
        <w:t>真实性承诺函。</w:t>
      </w:r>
    </w:p>
    <w:p w14:paraId="62BFCEC4">
      <w:pPr>
        <w:spacing w:before="0" w:after="0" w:line="360" w:lineRule="auto"/>
        <w:ind w:firstLine="480"/>
        <w:jc w:val="both"/>
      </w:pPr>
      <w:r>
        <w:rPr>
          <w:rFonts w:ascii="Arial" w:hAnsi="Arial" w:eastAsia="宋体"/>
          <w:b w:val="0"/>
          <w:color w:val="000000"/>
          <w:sz w:val="24"/>
        </w:rPr>
        <w:t>供应商对景区清单信息的真实性自行负责，填报不实或不符合统计口径的，将被视为提供虚假材料，采购人有权依据相关规定追究相应责任。</w:t>
      </w:r>
    </w:p>
    <w:p w14:paraId="4A0FF9C8">
      <w:pPr>
        <w:keepNext/>
        <w:spacing w:before="280" w:after="120" w:line="360" w:lineRule="auto"/>
        <w:jc w:val="both"/>
      </w:pPr>
      <w:r>
        <w:rPr>
          <w:rFonts w:ascii="Arial" w:hAnsi="Arial" w:eastAsia="黑体"/>
          <w:b/>
          <w:color w:val="000000"/>
          <w:sz w:val="32"/>
        </w:rPr>
        <w:t>十、其他事项</w:t>
      </w:r>
    </w:p>
    <w:p w14:paraId="7EA739E7">
      <w:pPr>
        <w:spacing w:before="0" w:after="0" w:line="360" w:lineRule="auto"/>
        <w:jc w:val="both"/>
        <w:rPr>
          <w:rFonts w:ascii="Arial" w:hAnsi="Arial" w:eastAsia="宋体"/>
          <w:b w:val="0"/>
          <w:color w:val="000000"/>
          <w:sz w:val="24"/>
        </w:rPr>
      </w:pPr>
      <w:r>
        <w:rPr>
          <w:rFonts w:ascii="Arial" w:hAnsi="Arial" w:eastAsia="宋体"/>
          <w:b w:val="0"/>
          <w:color w:val="000000"/>
          <w:sz w:val="24"/>
        </w:rPr>
        <w:t>1.本次市场调研结果仅作为采购人了解市场情况、完善采购需求之参考，不构成对供应商的任何承诺或约束。</w:t>
      </w:r>
    </w:p>
    <w:p w14:paraId="52A7CE31">
      <w:pPr>
        <w:spacing w:before="0" w:after="0" w:line="360" w:lineRule="auto"/>
        <w:jc w:val="both"/>
      </w:pPr>
      <w:r>
        <w:rPr>
          <w:rFonts w:ascii="Arial" w:hAnsi="Arial" w:eastAsia="宋体"/>
          <w:b w:val="0"/>
          <w:color w:val="000000"/>
          <w:sz w:val="24"/>
        </w:rPr>
        <w:t>2.本公告未尽事宜，欢迎供应商就产品方案、技术支持、售后服务、优惠政策等与采购人沟通接洽。</w:t>
      </w:r>
    </w:p>
    <w:p w14:paraId="30B52544">
      <w:pPr>
        <w:spacing w:before="480"/>
        <w:jc w:val="right"/>
      </w:pPr>
    </w:p>
    <w:p w14:paraId="479B89A4">
      <w:pPr>
        <w:jc w:val="right"/>
      </w:pPr>
    </w:p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92E6D2"/>
    <w:multiLevelType w:val="singleLevel"/>
    <w:tmpl w:val="E392E6D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45711E5"/>
    <w:rsid w:val="307C1C70"/>
    <w:rsid w:val="30EF7582"/>
    <w:rsid w:val="369A4A24"/>
    <w:rsid w:val="47C66004"/>
    <w:rsid w:val="4AC34C08"/>
    <w:rsid w:val="5BEF37C5"/>
    <w:rsid w:val="747B1444"/>
    <w:rsid w:val="7ED2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2501</Words>
  <Characters>2567</Characters>
  <Lines>0</Lines>
  <Paragraphs>0</Paragraphs>
  <TotalTime>13</TotalTime>
  <ScaleCrop>false</ScaleCrop>
  <LinksUpToDate>false</LinksUpToDate>
  <CharactersWithSpaces>2575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吴函</cp:lastModifiedBy>
  <dcterms:modified xsi:type="dcterms:W3CDTF">2026-09-14T08:02:46Z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eyJoZGlkIjoiYTIxNGRhYjA2NmZmMTdjMjBmMzFkMzBmYjU5ZDlhNWMiLCJ1c2VySWQiOiIxNTg5MTU2MTMxIn0=</vt:lpwstr>
  </property>
  <property fmtid="{D5CDD505-2E9C-101B-9397-08002B2CF9AE}" pid="3" name="KSOProductBuildVer">
    <vt:lpwstr>2052-12.1.0.28022</vt:lpwstr>
  </property>
  <property fmtid="{D5CDD505-2E9C-101B-9397-08002B2CF9AE}" pid="4" name="ICV">
    <vt:lpwstr>A969E3CF24BC40699DC206FBAAAF756A_13</vt:lpwstr>
  </property>
</Properties>
</file>